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535" w:rsidRPr="008969A5" w:rsidRDefault="00F75535" w:rsidP="00F75535">
      <w:pPr>
        <w:pStyle w:val="Style7"/>
        <w:widowControl/>
        <w:spacing w:line="240" w:lineRule="exact"/>
      </w:pPr>
    </w:p>
    <w:p w:rsidR="00F75535" w:rsidRPr="00F75535" w:rsidRDefault="00F75535" w:rsidP="00F75535">
      <w:pPr>
        <w:widowControl/>
        <w:autoSpaceDE/>
        <w:autoSpaceDN/>
        <w:adjustRightInd/>
        <w:rPr>
          <w:b/>
          <w:sz w:val="22"/>
          <w:szCs w:val="22"/>
        </w:rPr>
      </w:pPr>
    </w:p>
    <w:p w:rsidR="00F75535" w:rsidRPr="00F75535" w:rsidRDefault="00F75535" w:rsidP="00F75535">
      <w:pPr>
        <w:widowControl/>
        <w:autoSpaceDE/>
        <w:autoSpaceDN/>
        <w:adjustRightInd/>
        <w:jc w:val="right"/>
      </w:pPr>
      <w:r w:rsidRPr="00F75535">
        <w:t xml:space="preserve">Приложение </w:t>
      </w:r>
      <w:r>
        <w:t>№</w:t>
      </w:r>
      <w:r w:rsidRPr="00F75535">
        <w:t>1</w:t>
      </w:r>
    </w:p>
    <w:p w:rsidR="00F75535" w:rsidRDefault="00F75535" w:rsidP="00F75535">
      <w:pPr>
        <w:widowControl/>
        <w:autoSpaceDE/>
        <w:autoSpaceDN/>
        <w:adjustRightInd/>
        <w:jc w:val="right"/>
      </w:pPr>
      <w:r w:rsidRPr="00F75535">
        <w:t xml:space="preserve">к приказу </w:t>
      </w:r>
      <w:r w:rsidR="00E81923">
        <w:t>ООО СК «Согласие-Вита»</w:t>
      </w:r>
      <w:r w:rsidRPr="00F75535">
        <w:t xml:space="preserve"> </w:t>
      </w:r>
    </w:p>
    <w:p w:rsidR="00D7102E" w:rsidRPr="00F75535" w:rsidRDefault="00D7102E" w:rsidP="00D7102E">
      <w:pPr>
        <w:widowControl/>
        <w:autoSpaceDE/>
        <w:autoSpaceDN/>
        <w:adjustRightInd/>
        <w:ind w:left="7896"/>
      </w:pPr>
      <w:r>
        <w:t>№СВ-1-07</w:t>
      </w:r>
      <w:r w:rsidRPr="00A40C95">
        <w:t>-</w:t>
      </w:r>
      <w:r>
        <w:t xml:space="preserve">43 </w:t>
      </w:r>
    </w:p>
    <w:p w:rsidR="00D7102E" w:rsidRPr="00F75535" w:rsidRDefault="00D7102E" w:rsidP="00D7102E">
      <w:pPr>
        <w:widowControl/>
        <w:autoSpaceDE/>
        <w:autoSpaceDN/>
        <w:adjustRightInd/>
        <w:jc w:val="right"/>
      </w:pPr>
      <w:r w:rsidRPr="00F75535">
        <w:t>от</w:t>
      </w:r>
      <w:r>
        <w:t xml:space="preserve"> «03» июня 2021г.        </w:t>
      </w:r>
    </w:p>
    <w:p w:rsidR="00D335E7" w:rsidRPr="008969A5" w:rsidRDefault="00D335E7">
      <w:pPr>
        <w:pStyle w:val="Style7"/>
        <w:widowControl/>
        <w:spacing w:line="240" w:lineRule="exact"/>
        <w:jc w:val="center"/>
      </w:pPr>
    </w:p>
    <w:p w:rsidR="00D335E7" w:rsidRPr="008969A5" w:rsidRDefault="00D335E7">
      <w:pPr>
        <w:pStyle w:val="Style7"/>
        <w:widowControl/>
        <w:spacing w:line="240" w:lineRule="exact"/>
        <w:jc w:val="center"/>
      </w:pPr>
    </w:p>
    <w:p w:rsidR="00D335E7" w:rsidRPr="008969A5" w:rsidRDefault="00D335E7">
      <w:pPr>
        <w:pStyle w:val="Style7"/>
        <w:widowControl/>
        <w:spacing w:line="240" w:lineRule="exact"/>
        <w:jc w:val="center"/>
      </w:pPr>
    </w:p>
    <w:p w:rsidR="00D335E7" w:rsidRPr="008969A5" w:rsidRDefault="00D335E7">
      <w:pPr>
        <w:pStyle w:val="Style7"/>
        <w:widowControl/>
        <w:spacing w:line="240" w:lineRule="exact"/>
        <w:jc w:val="center"/>
      </w:pPr>
    </w:p>
    <w:p w:rsidR="00D335E7" w:rsidRPr="008969A5" w:rsidRDefault="00D335E7">
      <w:pPr>
        <w:pStyle w:val="Style7"/>
        <w:widowControl/>
        <w:spacing w:line="240" w:lineRule="exact"/>
        <w:jc w:val="center"/>
      </w:pPr>
    </w:p>
    <w:p w:rsidR="00D335E7" w:rsidRPr="008969A5" w:rsidRDefault="00D335E7">
      <w:pPr>
        <w:pStyle w:val="Style7"/>
        <w:widowControl/>
        <w:spacing w:line="240" w:lineRule="exact"/>
        <w:jc w:val="center"/>
      </w:pPr>
      <w:bookmarkStart w:id="0" w:name="_GoBack"/>
      <w:bookmarkEnd w:id="0"/>
    </w:p>
    <w:p w:rsidR="00D335E7" w:rsidRPr="008969A5" w:rsidRDefault="00D335E7">
      <w:pPr>
        <w:pStyle w:val="Style7"/>
        <w:widowControl/>
        <w:spacing w:line="240" w:lineRule="exact"/>
        <w:jc w:val="center"/>
      </w:pPr>
    </w:p>
    <w:p w:rsidR="00D335E7" w:rsidRPr="008969A5" w:rsidRDefault="00D335E7">
      <w:pPr>
        <w:pStyle w:val="Style7"/>
        <w:widowControl/>
        <w:spacing w:line="240" w:lineRule="exact"/>
        <w:jc w:val="center"/>
      </w:pPr>
    </w:p>
    <w:p w:rsidR="00D335E7" w:rsidRPr="008969A5" w:rsidRDefault="00D335E7">
      <w:pPr>
        <w:pStyle w:val="Style7"/>
        <w:widowControl/>
        <w:spacing w:line="240" w:lineRule="exact"/>
        <w:jc w:val="center"/>
      </w:pPr>
    </w:p>
    <w:p w:rsidR="00D335E7" w:rsidRDefault="00D335E7">
      <w:pPr>
        <w:pStyle w:val="Style7"/>
        <w:widowControl/>
        <w:spacing w:line="240" w:lineRule="exact"/>
        <w:jc w:val="center"/>
      </w:pPr>
    </w:p>
    <w:p w:rsidR="00F75535" w:rsidRDefault="00F75535">
      <w:pPr>
        <w:pStyle w:val="Style7"/>
        <w:widowControl/>
        <w:spacing w:line="240" w:lineRule="exact"/>
        <w:jc w:val="center"/>
      </w:pPr>
    </w:p>
    <w:p w:rsidR="00F75535" w:rsidRDefault="00F75535">
      <w:pPr>
        <w:pStyle w:val="Style7"/>
        <w:widowControl/>
        <w:spacing w:line="240" w:lineRule="exact"/>
        <w:jc w:val="center"/>
      </w:pPr>
    </w:p>
    <w:p w:rsidR="00F75535" w:rsidRDefault="00F75535">
      <w:pPr>
        <w:pStyle w:val="Style7"/>
        <w:widowControl/>
        <w:spacing w:line="240" w:lineRule="exact"/>
        <w:jc w:val="center"/>
      </w:pPr>
    </w:p>
    <w:p w:rsidR="00F75535" w:rsidRDefault="00F75535">
      <w:pPr>
        <w:pStyle w:val="Style7"/>
        <w:widowControl/>
        <w:spacing w:line="240" w:lineRule="exact"/>
        <w:jc w:val="center"/>
      </w:pPr>
    </w:p>
    <w:p w:rsidR="00F75535" w:rsidRDefault="00F75535">
      <w:pPr>
        <w:pStyle w:val="Style7"/>
        <w:widowControl/>
        <w:spacing w:line="240" w:lineRule="exact"/>
        <w:jc w:val="center"/>
      </w:pPr>
    </w:p>
    <w:p w:rsidR="00F75535" w:rsidRDefault="00F75535">
      <w:pPr>
        <w:pStyle w:val="Style7"/>
        <w:widowControl/>
        <w:spacing w:line="240" w:lineRule="exact"/>
        <w:jc w:val="center"/>
      </w:pPr>
    </w:p>
    <w:p w:rsidR="00F75535" w:rsidRDefault="00F75535">
      <w:pPr>
        <w:pStyle w:val="Style7"/>
        <w:widowControl/>
        <w:spacing w:line="240" w:lineRule="exact"/>
        <w:jc w:val="center"/>
      </w:pPr>
    </w:p>
    <w:p w:rsidR="00F75535" w:rsidRDefault="00F75535">
      <w:pPr>
        <w:pStyle w:val="Style7"/>
        <w:widowControl/>
        <w:spacing w:line="240" w:lineRule="exact"/>
        <w:jc w:val="center"/>
      </w:pPr>
    </w:p>
    <w:p w:rsidR="00F75535" w:rsidRDefault="00F75535">
      <w:pPr>
        <w:pStyle w:val="Style7"/>
        <w:widowControl/>
        <w:spacing w:line="240" w:lineRule="exact"/>
        <w:jc w:val="center"/>
      </w:pPr>
    </w:p>
    <w:p w:rsidR="00F75535" w:rsidRPr="00413ADF" w:rsidRDefault="00F75535">
      <w:pPr>
        <w:pStyle w:val="Style7"/>
        <w:widowControl/>
        <w:spacing w:line="240" w:lineRule="exact"/>
        <w:jc w:val="center"/>
        <w:rPr>
          <w:sz w:val="32"/>
          <w:szCs w:val="32"/>
        </w:rPr>
      </w:pPr>
    </w:p>
    <w:p w:rsidR="0096418A" w:rsidRPr="00413ADF" w:rsidRDefault="00DB3E37" w:rsidP="0096418A">
      <w:pPr>
        <w:pStyle w:val="1"/>
        <w:spacing w:before="0"/>
        <w:jc w:val="center"/>
        <w:rPr>
          <w:rStyle w:val="aa"/>
          <w:rFonts w:ascii="Times New Roman" w:hAnsi="Times New Roman"/>
          <w:b/>
        </w:rPr>
      </w:pPr>
      <w:bookmarkStart w:id="1" w:name="_Toc396721324"/>
      <w:bookmarkStart w:id="2" w:name="_Toc67586420"/>
      <w:r w:rsidRPr="00413ADF">
        <w:rPr>
          <w:rStyle w:val="aa"/>
          <w:rFonts w:ascii="Times New Roman" w:hAnsi="Times New Roman"/>
          <w:b/>
        </w:rPr>
        <w:t>критерии отнесения клиентов</w:t>
      </w:r>
      <w:bookmarkEnd w:id="1"/>
      <w:bookmarkEnd w:id="2"/>
    </w:p>
    <w:p w:rsidR="00BB3931" w:rsidRPr="00413ADF" w:rsidRDefault="00DB3E37" w:rsidP="0096418A">
      <w:pPr>
        <w:pStyle w:val="1"/>
        <w:spacing w:before="0"/>
        <w:jc w:val="center"/>
        <w:rPr>
          <w:rStyle w:val="aa"/>
          <w:rFonts w:ascii="Times New Roman" w:hAnsi="Times New Roman"/>
          <w:b/>
        </w:rPr>
      </w:pPr>
      <w:bookmarkStart w:id="3" w:name="_Toc396721325"/>
      <w:bookmarkStart w:id="4" w:name="_Toc67586421"/>
      <w:r w:rsidRPr="00413ADF">
        <w:rPr>
          <w:rStyle w:val="aa"/>
          <w:rFonts w:ascii="Times New Roman" w:hAnsi="Times New Roman"/>
          <w:b/>
        </w:rPr>
        <w:t>к категории клиента – иностранного налогоплательщика</w:t>
      </w:r>
      <w:bookmarkEnd w:id="3"/>
      <w:bookmarkEnd w:id="4"/>
      <w:r w:rsidR="00C26142" w:rsidRPr="00413ADF">
        <w:rPr>
          <w:rStyle w:val="aa"/>
          <w:rFonts w:ascii="Times New Roman" w:hAnsi="Times New Roman"/>
          <w:b/>
        </w:rPr>
        <w:t xml:space="preserve"> </w:t>
      </w:r>
    </w:p>
    <w:p w:rsidR="00D335E7" w:rsidRPr="00413ADF" w:rsidRDefault="00E81923" w:rsidP="0096418A">
      <w:pPr>
        <w:pStyle w:val="1"/>
        <w:spacing w:before="0"/>
        <w:jc w:val="center"/>
        <w:rPr>
          <w:rStyle w:val="aa"/>
          <w:rFonts w:ascii="Times New Roman" w:hAnsi="Times New Roman"/>
          <w:b/>
        </w:rPr>
      </w:pPr>
      <w:bookmarkStart w:id="5" w:name="_Toc67586422"/>
      <w:r w:rsidRPr="00413ADF">
        <w:rPr>
          <w:rStyle w:val="aa"/>
          <w:rFonts w:ascii="Times New Roman" w:hAnsi="Times New Roman"/>
          <w:b/>
        </w:rPr>
        <w:t>ООО СК «Согласие-Вита»</w:t>
      </w:r>
      <w:bookmarkEnd w:id="5"/>
    </w:p>
    <w:p w:rsidR="00D335E7" w:rsidRPr="008969A5" w:rsidRDefault="00D335E7" w:rsidP="004F543D">
      <w:pPr>
        <w:pStyle w:val="Style9"/>
        <w:widowControl/>
        <w:spacing w:line="322" w:lineRule="exact"/>
        <w:jc w:val="center"/>
        <w:rPr>
          <w:rStyle w:val="FontStyle28"/>
          <w:bCs/>
          <w:sz w:val="24"/>
        </w:rPr>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Pr="008969A5" w:rsidRDefault="00D335E7">
      <w:pPr>
        <w:pStyle w:val="Style3"/>
        <w:widowControl/>
        <w:spacing w:line="240" w:lineRule="exact"/>
        <w:ind w:left="4378" w:right="4440"/>
      </w:pPr>
    </w:p>
    <w:p w:rsidR="00D335E7" w:rsidRDefault="00D335E7">
      <w:pPr>
        <w:pStyle w:val="Style3"/>
        <w:widowControl/>
        <w:spacing w:line="240" w:lineRule="exact"/>
        <w:ind w:left="4378" w:right="4440"/>
      </w:pPr>
    </w:p>
    <w:p w:rsidR="008647E2" w:rsidRDefault="008647E2">
      <w:pPr>
        <w:pStyle w:val="Style3"/>
        <w:widowControl/>
        <w:spacing w:line="240" w:lineRule="exact"/>
        <w:ind w:left="4378" w:right="4440"/>
      </w:pPr>
    </w:p>
    <w:p w:rsidR="008647E2" w:rsidRDefault="008647E2">
      <w:pPr>
        <w:pStyle w:val="Style3"/>
        <w:widowControl/>
        <w:spacing w:line="240" w:lineRule="exact"/>
        <w:ind w:left="4378" w:right="4440"/>
      </w:pPr>
    </w:p>
    <w:p w:rsidR="008647E2" w:rsidRPr="00CC6589" w:rsidRDefault="008647E2">
      <w:pPr>
        <w:pStyle w:val="Style3"/>
        <w:widowControl/>
        <w:spacing w:line="240" w:lineRule="exact"/>
        <w:ind w:left="4378" w:right="4440"/>
      </w:pPr>
    </w:p>
    <w:p w:rsidR="00421CCC" w:rsidRPr="00CC6589" w:rsidRDefault="00421CCC">
      <w:pPr>
        <w:pStyle w:val="Style3"/>
        <w:widowControl/>
        <w:spacing w:line="240" w:lineRule="exact"/>
        <w:ind w:left="4378" w:right="4440"/>
      </w:pPr>
    </w:p>
    <w:p w:rsidR="00421CCC" w:rsidRPr="00CC6589" w:rsidRDefault="00421CCC">
      <w:pPr>
        <w:pStyle w:val="Style3"/>
        <w:widowControl/>
        <w:spacing w:line="240" w:lineRule="exact"/>
        <w:ind w:left="4378" w:right="4440"/>
      </w:pPr>
    </w:p>
    <w:p w:rsidR="00421CCC" w:rsidRPr="00CC6589" w:rsidRDefault="00421CCC">
      <w:pPr>
        <w:pStyle w:val="Style3"/>
        <w:widowControl/>
        <w:spacing w:line="240" w:lineRule="exact"/>
        <w:ind w:left="4378" w:right="4440"/>
      </w:pPr>
    </w:p>
    <w:p w:rsidR="00421CCC" w:rsidRPr="002A7BBA" w:rsidRDefault="00421CCC" w:rsidP="00421CCC">
      <w:pPr>
        <w:pStyle w:val="af0"/>
        <w:rPr>
          <w:rFonts w:ascii="Times New Roman" w:hAnsi="Times New Roman"/>
          <w:color w:val="auto"/>
        </w:rPr>
      </w:pPr>
      <w:r w:rsidRPr="002A7BBA">
        <w:rPr>
          <w:rFonts w:ascii="Times New Roman" w:hAnsi="Times New Roman"/>
          <w:color w:val="auto"/>
        </w:rPr>
        <w:t>Оглавление</w:t>
      </w:r>
    </w:p>
    <w:p w:rsidR="00413ADF" w:rsidRDefault="00421CCC" w:rsidP="00413ADF">
      <w:pPr>
        <w:pStyle w:val="11"/>
        <w:tabs>
          <w:tab w:val="right" w:leader="dot" w:pos="9841"/>
        </w:tabs>
        <w:rPr>
          <w:rFonts w:asciiTheme="minorHAnsi" w:eastAsiaTheme="minorEastAsia" w:hAnsiTheme="minorHAnsi" w:cstheme="minorBidi"/>
          <w:noProof/>
          <w:sz w:val="22"/>
          <w:szCs w:val="22"/>
        </w:rPr>
      </w:pPr>
      <w:r w:rsidRPr="00967435">
        <w:fldChar w:fldCharType="begin"/>
      </w:r>
      <w:r w:rsidRPr="00967435">
        <w:instrText xml:space="preserve"> TOC \o "1-3" \h \z \u </w:instrText>
      </w:r>
      <w:r w:rsidRPr="00967435">
        <w:fldChar w:fldCharType="separate"/>
      </w:r>
    </w:p>
    <w:p w:rsidR="00413ADF" w:rsidRDefault="00413ADF">
      <w:pPr>
        <w:pStyle w:val="11"/>
        <w:tabs>
          <w:tab w:val="right" w:leader="dot" w:pos="9841"/>
        </w:tabs>
        <w:rPr>
          <w:rFonts w:asciiTheme="minorHAnsi" w:eastAsiaTheme="minorEastAsia" w:hAnsiTheme="minorHAnsi" w:cstheme="minorBidi"/>
          <w:noProof/>
          <w:sz w:val="22"/>
          <w:szCs w:val="22"/>
        </w:rPr>
      </w:pPr>
    </w:p>
    <w:p w:rsidR="00413ADF" w:rsidRDefault="009D0BB6">
      <w:pPr>
        <w:pStyle w:val="11"/>
        <w:tabs>
          <w:tab w:val="left" w:pos="440"/>
          <w:tab w:val="right" w:leader="dot" w:pos="9841"/>
        </w:tabs>
        <w:rPr>
          <w:rFonts w:asciiTheme="minorHAnsi" w:eastAsiaTheme="minorEastAsia" w:hAnsiTheme="minorHAnsi" w:cstheme="minorBidi"/>
          <w:noProof/>
          <w:sz w:val="22"/>
          <w:szCs w:val="22"/>
        </w:rPr>
      </w:pPr>
      <w:hyperlink w:anchor="_Toc67586423" w:history="1">
        <w:r w:rsidR="00413ADF" w:rsidRPr="00811C19">
          <w:rPr>
            <w:rStyle w:val="af3"/>
            <w:noProof/>
          </w:rPr>
          <w:t>1.</w:t>
        </w:r>
        <w:r w:rsidR="00413ADF">
          <w:rPr>
            <w:rFonts w:asciiTheme="minorHAnsi" w:eastAsiaTheme="minorEastAsia" w:hAnsiTheme="minorHAnsi" w:cstheme="minorBidi"/>
            <w:noProof/>
            <w:sz w:val="22"/>
            <w:szCs w:val="22"/>
          </w:rPr>
          <w:tab/>
        </w:r>
        <w:r w:rsidR="00413ADF" w:rsidRPr="00811C19">
          <w:rPr>
            <w:rStyle w:val="af3"/>
            <w:noProof/>
          </w:rPr>
          <w:t>Общие положения</w:t>
        </w:r>
        <w:r w:rsidR="00413ADF">
          <w:rPr>
            <w:noProof/>
            <w:webHidden/>
          </w:rPr>
          <w:tab/>
        </w:r>
        <w:r w:rsidR="00413ADF">
          <w:rPr>
            <w:noProof/>
            <w:webHidden/>
          </w:rPr>
          <w:fldChar w:fldCharType="begin"/>
        </w:r>
        <w:r w:rsidR="00413ADF">
          <w:rPr>
            <w:noProof/>
            <w:webHidden/>
          </w:rPr>
          <w:instrText xml:space="preserve"> PAGEREF _Toc67586423 \h </w:instrText>
        </w:r>
        <w:r w:rsidR="00413ADF">
          <w:rPr>
            <w:noProof/>
            <w:webHidden/>
          </w:rPr>
        </w:r>
        <w:r w:rsidR="00413ADF">
          <w:rPr>
            <w:noProof/>
            <w:webHidden/>
          </w:rPr>
          <w:fldChar w:fldCharType="separate"/>
        </w:r>
        <w:r w:rsidR="00413ADF">
          <w:rPr>
            <w:noProof/>
            <w:webHidden/>
          </w:rPr>
          <w:t>3</w:t>
        </w:r>
        <w:r w:rsidR="00413ADF">
          <w:rPr>
            <w:noProof/>
            <w:webHidden/>
          </w:rPr>
          <w:fldChar w:fldCharType="end"/>
        </w:r>
      </w:hyperlink>
    </w:p>
    <w:p w:rsidR="00413ADF" w:rsidRDefault="009D0BB6">
      <w:pPr>
        <w:pStyle w:val="11"/>
        <w:tabs>
          <w:tab w:val="left" w:pos="440"/>
          <w:tab w:val="right" w:leader="dot" w:pos="9841"/>
        </w:tabs>
        <w:rPr>
          <w:rFonts w:asciiTheme="minorHAnsi" w:eastAsiaTheme="minorEastAsia" w:hAnsiTheme="minorHAnsi" w:cstheme="minorBidi"/>
          <w:noProof/>
          <w:sz w:val="22"/>
          <w:szCs w:val="22"/>
        </w:rPr>
      </w:pPr>
      <w:hyperlink w:anchor="_Toc67586424" w:history="1">
        <w:r w:rsidR="00413ADF" w:rsidRPr="00811C19">
          <w:rPr>
            <w:rStyle w:val="af3"/>
            <w:noProof/>
          </w:rPr>
          <w:t>2.</w:t>
        </w:r>
        <w:r w:rsidR="00413ADF">
          <w:rPr>
            <w:rFonts w:asciiTheme="minorHAnsi" w:eastAsiaTheme="minorEastAsia" w:hAnsiTheme="minorHAnsi" w:cstheme="minorBidi"/>
            <w:noProof/>
            <w:sz w:val="22"/>
            <w:szCs w:val="22"/>
          </w:rPr>
          <w:tab/>
        </w:r>
        <w:r w:rsidR="00413ADF" w:rsidRPr="00811C19">
          <w:rPr>
            <w:rStyle w:val="af3"/>
            <w:noProof/>
          </w:rPr>
          <w:t>Общие критерии отнесения клиентов Компании к категории клиента – иностранного налогоплательщика</w:t>
        </w:r>
        <w:r w:rsidR="00413ADF">
          <w:rPr>
            <w:noProof/>
            <w:webHidden/>
          </w:rPr>
          <w:tab/>
        </w:r>
        <w:r w:rsidR="00413ADF">
          <w:rPr>
            <w:noProof/>
            <w:webHidden/>
          </w:rPr>
          <w:fldChar w:fldCharType="begin"/>
        </w:r>
        <w:r w:rsidR="00413ADF">
          <w:rPr>
            <w:noProof/>
            <w:webHidden/>
          </w:rPr>
          <w:instrText xml:space="preserve"> PAGEREF _Toc67586424 \h </w:instrText>
        </w:r>
        <w:r w:rsidR="00413ADF">
          <w:rPr>
            <w:noProof/>
            <w:webHidden/>
          </w:rPr>
        </w:r>
        <w:r w:rsidR="00413ADF">
          <w:rPr>
            <w:noProof/>
            <w:webHidden/>
          </w:rPr>
          <w:fldChar w:fldCharType="separate"/>
        </w:r>
        <w:r w:rsidR="00413ADF">
          <w:rPr>
            <w:noProof/>
            <w:webHidden/>
          </w:rPr>
          <w:t>3</w:t>
        </w:r>
        <w:r w:rsidR="00413ADF">
          <w:rPr>
            <w:noProof/>
            <w:webHidden/>
          </w:rPr>
          <w:fldChar w:fldCharType="end"/>
        </w:r>
      </w:hyperlink>
    </w:p>
    <w:p w:rsidR="00413ADF" w:rsidRDefault="009D0BB6">
      <w:pPr>
        <w:pStyle w:val="11"/>
        <w:tabs>
          <w:tab w:val="left" w:pos="440"/>
          <w:tab w:val="right" w:leader="dot" w:pos="9841"/>
        </w:tabs>
        <w:rPr>
          <w:rFonts w:asciiTheme="minorHAnsi" w:eastAsiaTheme="minorEastAsia" w:hAnsiTheme="minorHAnsi" w:cstheme="minorBidi"/>
          <w:noProof/>
          <w:sz w:val="22"/>
          <w:szCs w:val="22"/>
        </w:rPr>
      </w:pPr>
      <w:hyperlink w:anchor="_Toc67586425" w:history="1">
        <w:r w:rsidR="00413ADF" w:rsidRPr="00811C19">
          <w:rPr>
            <w:rStyle w:val="af3"/>
            <w:noProof/>
          </w:rPr>
          <w:t>3.</w:t>
        </w:r>
        <w:r w:rsidR="00413ADF">
          <w:rPr>
            <w:rFonts w:asciiTheme="minorHAnsi" w:eastAsiaTheme="minorEastAsia" w:hAnsiTheme="minorHAnsi" w:cstheme="minorBidi"/>
            <w:noProof/>
            <w:sz w:val="22"/>
            <w:szCs w:val="22"/>
          </w:rPr>
          <w:tab/>
        </w:r>
        <w:r w:rsidR="00413ADF" w:rsidRPr="00811C19">
          <w:rPr>
            <w:rStyle w:val="af3"/>
            <w:noProof/>
          </w:rPr>
          <w:t>Критерии отнесения клиентов Компании к категории клиента – налогоплательщика США</w:t>
        </w:r>
        <w:r w:rsidR="00413ADF">
          <w:rPr>
            <w:noProof/>
            <w:webHidden/>
          </w:rPr>
          <w:tab/>
        </w:r>
        <w:r w:rsidR="00413ADF">
          <w:rPr>
            <w:noProof/>
            <w:webHidden/>
          </w:rPr>
          <w:fldChar w:fldCharType="begin"/>
        </w:r>
        <w:r w:rsidR="00413ADF">
          <w:rPr>
            <w:noProof/>
            <w:webHidden/>
          </w:rPr>
          <w:instrText xml:space="preserve"> PAGEREF _Toc67586425 \h </w:instrText>
        </w:r>
        <w:r w:rsidR="00413ADF">
          <w:rPr>
            <w:noProof/>
            <w:webHidden/>
          </w:rPr>
        </w:r>
        <w:r w:rsidR="00413ADF">
          <w:rPr>
            <w:noProof/>
            <w:webHidden/>
          </w:rPr>
          <w:fldChar w:fldCharType="separate"/>
        </w:r>
        <w:r w:rsidR="00413ADF">
          <w:rPr>
            <w:noProof/>
            <w:webHidden/>
          </w:rPr>
          <w:t>3</w:t>
        </w:r>
        <w:r w:rsidR="00413ADF">
          <w:rPr>
            <w:noProof/>
            <w:webHidden/>
          </w:rPr>
          <w:fldChar w:fldCharType="end"/>
        </w:r>
      </w:hyperlink>
    </w:p>
    <w:p w:rsidR="00413ADF" w:rsidRDefault="009D0BB6">
      <w:pPr>
        <w:pStyle w:val="11"/>
        <w:tabs>
          <w:tab w:val="left" w:pos="440"/>
          <w:tab w:val="right" w:leader="dot" w:pos="9841"/>
        </w:tabs>
        <w:rPr>
          <w:rFonts w:asciiTheme="minorHAnsi" w:eastAsiaTheme="minorEastAsia" w:hAnsiTheme="minorHAnsi" w:cstheme="minorBidi"/>
          <w:noProof/>
          <w:sz w:val="22"/>
          <w:szCs w:val="22"/>
        </w:rPr>
      </w:pPr>
      <w:hyperlink w:anchor="_Toc67586426" w:history="1">
        <w:r w:rsidR="00413ADF" w:rsidRPr="00811C19">
          <w:rPr>
            <w:rStyle w:val="af3"/>
            <w:noProof/>
          </w:rPr>
          <w:t>4.</w:t>
        </w:r>
        <w:r w:rsidR="00413ADF">
          <w:rPr>
            <w:rFonts w:asciiTheme="minorHAnsi" w:eastAsiaTheme="minorEastAsia" w:hAnsiTheme="minorHAnsi" w:cstheme="minorBidi"/>
            <w:noProof/>
            <w:sz w:val="22"/>
            <w:szCs w:val="22"/>
          </w:rPr>
          <w:tab/>
        </w:r>
        <w:r w:rsidR="00413ADF" w:rsidRPr="00811C19">
          <w:rPr>
            <w:rStyle w:val="af3"/>
            <w:noProof/>
          </w:rPr>
          <w:t>Способы передачи запроса и получения информации от клиентов, соответствующих критериям клиента – иностранного налогоплательщика</w:t>
        </w:r>
        <w:r w:rsidR="00413ADF">
          <w:rPr>
            <w:noProof/>
            <w:webHidden/>
          </w:rPr>
          <w:tab/>
        </w:r>
        <w:r w:rsidR="00413ADF">
          <w:rPr>
            <w:noProof/>
            <w:webHidden/>
          </w:rPr>
          <w:fldChar w:fldCharType="begin"/>
        </w:r>
        <w:r w:rsidR="00413ADF">
          <w:rPr>
            <w:noProof/>
            <w:webHidden/>
          </w:rPr>
          <w:instrText xml:space="preserve"> PAGEREF _Toc67586426 \h </w:instrText>
        </w:r>
        <w:r w:rsidR="00413ADF">
          <w:rPr>
            <w:noProof/>
            <w:webHidden/>
          </w:rPr>
        </w:r>
        <w:r w:rsidR="00413ADF">
          <w:rPr>
            <w:noProof/>
            <w:webHidden/>
          </w:rPr>
          <w:fldChar w:fldCharType="separate"/>
        </w:r>
        <w:r w:rsidR="00413ADF">
          <w:rPr>
            <w:noProof/>
            <w:webHidden/>
          </w:rPr>
          <w:t>6</w:t>
        </w:r>
        <w:r w:rsidR="00413ADF">
          <w:rPr>
            <w:noProof/>
            <w:webHidden/>
          </w:rPr>
          <w:fldChar w:fldCharType="end"/>
        </w:r>
      </w:hyperlink>
    </w:p>
    <w:p w:rsidR="00413ADF" w:rsidRDefault="009D0BB6">
      <w:pPr>
        <w:pStyle w:val="11"/>
        <w:tabs>
          <w:tab w:val="left" w:pos="440"/>
          <w:tab w:val="right" w:leader="dot" w:pos="9841"/>
        </w:tabs>
        <w:rPr>
          <w:rFonts w:asciiTheme="minorHAnsi" w:eastAsiaTheme="minorEastAsia" w:hAnsiTheme="minorHAnsi" w:cstheme="minorBidi"/>
          <w:noProof/>
          <w:sz w:val="22"/>
          <w:szCs w:val="22"/>
        </w:rPr>
      </w:pPr>
      <w:hyperlink w:anchor="_Toc67586427" w:history="1">
        <w:r w:rsidR="00413ADF" w:rsidRPr="00811C19">
          <w:rPr>
            <w:rStyle w:val="af3"/>
            <w:noProof/>
          </w:rPr>
          <w:t>5.</w:t>
        </w:r>
        <w:r w:rsidR="00413ADF">
          <w:rPr>
            <w:rFonts w:asciiTheme="minorHAnsi" w:eastAsiaTheme="minorEastAsia" w:hAnsiTheme="minorHAnsi" w:cstheme="minorBidi"/>
            <w:noProof/>
            <w:sz w:val="22"/>
            <w:szCs w:val="22"/>
          </w:rPr>
          <w:tab/>
        </w:r>
        <w:r w:rsidR="00413ADF" w:rsidRPr="00811C19">
          <w:rPr>
            <w:rStyle w:val="af3"/>
            <w:noProof/>
          </w:rPr>
          <w:t>Последствия непредоставления клиентом документов, подтверждающих или опровергающих статус клиента – иностранного налогоплательщика, и согласия (отказа от предоставления согласия) на передачу информации в иностранный налоговый орган</w:t>
        </w:r>
        <w:r w:rsidR="00413ADF">
          <w:rPr>
            <w:noProof/>
            <w:webHidden/>
          </w:rPr>
          <w:tab/>
        </w:r>
        <w:r w:rsidR="00413ADF">
          <w:rPr>
            <w:noProof/>
            <w:webHidden/>
          </w:rPr>
          <w:fldChar w:fldCharType="begin"/>
        </w:r>
        <w:r w:rsidR="00413ADF">
          <w:rPr>
            <w:noProof/>
            <w:webHidden/>
          </w:rPr>
          <w:instrText xml:space="preserve"> PAGEREF _Toc67586427 \h </w:instrText>
        </w:r>
        <w:r w:rsidR="00413ADF">
          <w:rPr>
            <w:noProof/>
            <w:webHidden/>
          </w:rPr>
        </w:r>
        <w:r w:rsidR="00413ADF">
          <w:rPr>
            <w:noProof/>
            <w:webHidden/>
          </w:rPr>
          <w:fldChar w:fldCharType="separate"/>
        </w:r>
        <w:r w:rsidR="00413ADF">
          <w:rPr>
            <w:noProof/>
            <w:webHidden/>
          </w:rPr>
          <w:t>7</w:t>
        </w:r>
        <w:r w:rsidR="00413ADF">
          <w:rPr>
            <w:noProof/>
            <w:webHidden/>
          </w:rPr>
          <w:fldChar w:fldCharType="end"/>
        </w:r>
      </w:hyperlink>
    </w:p>
    <w:p w:rsidR="00413ADF" w:rsidRDefault="009D0BB6">
      <w:pPr>
        <w:pStyle w:val="11"/>
        <w:tabs>
          <w:tab w:val="right" w:leader="dot" w:pos="9841"/>
        </w:tabs>
        <w:rPr>
          <w:rFonts w:asciiTheme="minorHAnsi" w:eastAsiaTheme="minorEastAsia" w:hAnsiTheme="minorHAnsi" w:cstheme="minorBidi"/>
          <w:noProof/>
          <w:sz w:val="22"/>
          <w:szCs w:val="22"/>
        </w:rPr>
      </w:pPr>
      <w:hyperlink w:anchor="_Toc67586428" w:history="1">
        <w:r w:rsidR="00413ADF" w:rsidRPr="00811C19">
          <w:rPr>
            <w:rStyle w:val="af3"/>
            <w:noProof/>
          </w:rPr>
          <w:t>Юридические лица, на которых не распространяется действие Закона США от 18.03.2010г. «О налогообложении иностранных счетов» (FATCA)</w:t>
        </w:r>
        <w:r w:rsidR="00413ADF">
          <w:rPr>
            <w:noProof/>
            <w:webHidden/>
          </w:rPr>
          <w:tab/>
        </w:r>
        <w:r w:rsidR="00413ADF">
          <w:rPr>
            <w:noProof/>
            <w:webHidden/>
          </w:rPr>
          <w:fldChar w:fldCharType="begin"/>
        </w:r>
        <w:r w:rsidR="00413ADF">
          <w:rPr>
            <w:noProof/>
            <w:webHidden/>
          </w:rPr>
          <w:instrText xml:space="preserve"> PAGEREF _Toc67586428 \h </w:instrText>
        </w:r>
        <w:r w:rsidR="00413ADF">
          <w:rPr>
            <w:noProof/>
            <w:webHidden/>
          </w:rPr>
        </w:r>
        <w:r w:rsidR="00413ADF">
          <w:rPr>
            <w:noProof/>
            <w:webHidden/>
          </w:rPr>
          <w:fldChar w:fldCharType="separate"/>
        </w:r>
        <w:r w:rsidR="00413ADF">
          <w:rPr>
            <w:noProof/>
            <w:webHidden/>
          </w:rPr>
          <w:t>8</w:t>
        </w:r>
        <w:r w:rsidR="00413ADF">
          <w:rPr>
            <w:noProof/>
            <w:webHidden/>
          </w:rPr>
          <w:fldChar w:fldCharType="end"/>
        </w:r>
      </w:hyperlink>
    </w:p>
    <w:p w:rsidR="00421CCC" w:rsidRPr="00E2747C" w:rsidRDefault="00421CCC" w:rsidP="00421CCC">
      <w:pPr>
        <w:rPr>
          <w:noProof/>
        </w:rPr>
      </w:pPr>
      <w:r w:rsidRPr="00967435">
        <w:fldChar w:fldCharType="end"/>
      </w:r>
    </w:p>
    <w:p w:rsidR="00421CCC" w:rsidRDefault="00421CCC" w:rsidP="00421CCC">
      <w:pPr>
        <w:pStyle w:val="11"/>
        <w:tabs>
          <w:tab w:val="left" w:pos="440"/>
          <w:tab w:val="right" w:leader="dot" w:pos="9841"/>
        </w:tabs>
        <w:rPr>
          <w:noProof/>
        </w:rPr>
      </w:pPr>
    </w:p>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Default="00421CCC" w:rsidP="00421CCC"/>
    <w:p w:rsidR="00421CCC" w:rsidRPr="001701CE" w:rsidRDefault="00421CCC" w:rsidP="00421CCC"/>
    <w:p w:rsidR="00421CCC" w:rsidRPr="00421CCC" w:rsidRDefault="00421CCC">
      <w:pPr>
        <w:pStyle w:val="Style3"/>
        <w:widowControl/>
        <w:spacing w:line="240" w:lineRule="exact"/>
        <w:ind w:left="4378" w:right="4440"/>
      </w:pPr>
    </w:p>
    <w:p w:rsidR="001701CE" w:rsidRDefault="001701CE" w:rsidP="001701CE">
      <w:pPr>
        <w:pStyle w:val="Style3"/>
        <w:widowControl/>
        <w:spacing w:line="240" w:lineRule="exact"/>
        <w:ind w:left="4378" w:right="4440"/>
        <w:jc w:val="left"/>
        <w:sectPr w:rsidR="001701CE" w:rsidSect="00D538D2">
          <w:footerReference w:type="default" r:id="rId8"/>
          <w:footerReference w:type="first" r:id="rId9"/>
          <w:pgSz w:w="11905" w:h="16837"/>
          <w:pgMar w:top="567" w:right="1027" w:bottom="1440" w:left="1027" w:header="720" w:footer="720" w:gutter="0"/>
          <w:cols w:space="60"/>
          <w:noEndnote/>
          <w:titlePg/>
        </w:sectPr>
      </w:pPr>
    </w:p>
    <w:p w:rsidR="008647E2" w:rsidRPr="008969A5" w:rsidRDefault="008647E2" w:rsidP="001701CE">
      <w:pPr>
        <w:pStyle w:val="Style3"/>
        <w:widowControl/>
        <w:spacing w:line="240" w:lineRule="exact"/>
        <w:ind w:right="4440"/>
        <w:jc w:val="left"/>
      </w:pPr>
    </w:p>
    <w:p w:rsidR="00D335E7" w:rsidRPr="002A7BBA" w:rsidRDefault="00D23E31" w:rsidP="00E2747C">
      <w:pPr>
        <w:pStyle w:val="1"/>
        <w:numPr>
          <w:ilvl w:val="0"/>
          <w:numId w:val="7"/>
        </w:numPr>
        <w:rPr>
          <w:rStyle w:val="FontStyle37"/>
          <w:sz w:val="32"/>
        </w:rPr>
      </w:pPr>
      <w:bookmarkStart w:id="6" w:name="_Toc67586423"/>
      <w:r w:rsidRPr="002A7BBA">
        <w:rPr>
          <w:rStyle w:val="FontStyle37"/>
          <w:sz w:val="32"/>
        </w:rPr>
        <w:t>Общие положения</w:t>
      </w:r>
      <w:bookmarkEnd w:id="6"/>
    </w:p>
    <w:p w:rsidR="00745739" w:rsidRPr="002A7BBA" w:rsidRDefault="00140C7D" w:rsidP="00745739">
      <w:pPr>
        <w:pStyle w:val="Style21"/>
        <w:widowControl/>
        <w:numPr>
          <w:ilvl w:val="1"/>
          <w:numId w:val="7"/>
        </w:numPr>
        <w:spacing w:before="82" w:line="240" w:lineRule="auto"/>
        <w:rPr>
          <w:sz w:val="22"/>
          <w:szCs w:val="22"/>
        </w:rPr>
      </w:pPr>
      <w:r w:rsidRPr="002A7BBA">
        <w:rPr>
          <w:rStyle w:val="FontStyle30"/>
          <w:sz w:val="22"/>
          <w:szCs w:val="22"/>
        </w:rPr>
        <w:t xml:space="preserve">Настоящие </w:t>
      </w:r>
      <w:r w:rsidR="00D335E7" w:rsidRPr="002A7BBA">
        <w:rPr>
          <w:rStyle w:val="FontStyle30"/>
          <w:sz w:val="22"/>
          <w:szCs w:val="22"/>
        </w:rPr>
        <w:t xml:space="preserve">Критерии отнесения клиентов </w:t>
      </w:r>
      <w:r w:rsidRPr="002A7BBA">
        <w:rPr>
          <w:rStyle w:val="FontStyle30"/>
          <w:sz w:val="22"/>
          <w:szCs w:val="22"/>
        </w:rPr>
        <w:t xml:space="preserve">к </w:t>
      </w:r>
      <w:r w:rsidR="00D335E7" w:rsidRPr="002A7BBA">
        <w:rPr>
          <w:rStyle w:val="FontStyle30"/>
          <w:sz w:val="22"/>
          <w:szCs w:val="22"/>
        </w:rPr>
        <w:t>категории клиента</w:t>
      </w:r>
      <w:r w:rsidR="004F6D8A" w:rsidRPr="002A7BBA">
        <w:rPr>
          <w:rStyle w:val="FontStyle30"/>
          <w:sz w:val="22"/>
          <w:szCs w:val="22"/>
        </w:rPr>
        <w:t xml:space="preserve"> – </w:t>
      </w:r>
      <w:r w:rsidR="00D335E7" w:rsidRPr="002A7BBA">
        <w:rPr>
          <w:rStyle w:val="FontStyle30"/>
          <w:sz w:val="22"/>
          <w:szCs w:val="22"/>
        </w:rPr>
        <w:t>иностранного</w:t>
      </w:r>
      <w:r w:rsidR="004F543D" w:rsidRPr="002A7BBA">
        <w:rPr>
          <w:rStyle w:val="FontStyle30"/>
          <w:sz w:val="22"/>
          <w:szCs w:val="22"/>
        </w:rPr>
        <w:t xml:space="preserve"> </w:t>
      </w:r>
      <w:r w:rsidR="00D335E7" w:rsidRPr="002A7BBA">
        <w:rPr>
          <w:rStyle w:val="FontStyle30"/>
          <w:sz w:val="22"/>
          <w:szCs w:val="22"/>
        </w:rPr>
        <w:t xml:space="preserve">налогоплательщика </w:t>
      </w:r>
      <w:r w:rsidR="00D335E7" w:rsidRPr="002A7BBA">
        <w:rPr>
          <w:rStyle w:val="FontStyle36"/>
          <w:sz w:val="22"/>
          <w:szCs w:val="22"/>
        </w:rPr>
        <w:t xml:space="preserve">и </w:t>
      </w:r>
      <w:r w:rsidR="00D335E7" w:rsidRPr="002A7BBA">
        <w:rPr>
          <w:rStyle w:val="FontStyle30"/>
          <w:sz w:val="22"/>
          <w:szCs w:val="22"/>
        </w:rPr>
        <w:t xml:space="preserve">способы получения </w:t>
      </w:r>
      <w:r w:rsidR="00D335E7" w:rsidRPr="002A7BBA">
        <w:rPr>
          <w:rStyle w:val="FontStyle36"/>
          <w:sz w:val="22"/>
          <w:szCs w:val="22"/>
        </w:rPr>
        <w:t xml:space="preserve">от них </w:t>
      </w:r>
      <w:r w:rsidR="00D335E7" w:rsidRPr="002A7BBA">
        <w:rPr>
          <w:rStyle w:val="FontStyle30"/>
          <w:sz w:val="22"/>
          <w:szCs w:val="22"/>
        </w:rPr>
        <w:t xml:space="preserve">необходимой информации </w:t>
      </w:r>
      <w:r w:rsidR="00D335E7" w:rsidRPr="002A7BBA">
        <w:rPr>
          <w:rStyle w:val="FontStyle36"/>
          <w:sz w:val="22"/>
          <w:szCs w:val="22"/>
        </w:rPr>
        <w:t xml:space="preserve">(далее </w:t>
      </w:r>
      <w:r w:rsidR="00174E64" w:rsidRPr="002A7BBA">
        <w:rPr>
          <w:rStyle w:val="FontStyle30"/>
          <w:sz w:val="22"/>
          <w:szCs w:val="22"/>
        </w:rPr>
        <w:t>–</w:t>
      </w:r>
      <w:r w:rsidR="00D335E7" w:rsidRPr="002A7BBA">
        <w:rPr>
          <w:rStyle w:val="FontStyle30"/>
          <w:sz w:val="22"/>
          <w:szCs w:val="22"/>
        </w:rPr>
        <w:t xml:space="preserve"> </w:t>
      </w:r>
      <w:r w:rsidR="00D23E31" w:rsidRPr="002A7BBA">
        <w:rPr>
          <w:rStyle w:val="FontStyle30"/>
          <w:sz w:val="22"/>
          <w:szCs w:val="22"/>
        </w:rPr>
        <w:t>Документ</w:t>
      </w:r>
      <w:r w:rsidR="00D335E7" w:rsidRPr="002A7BBA">
        <w:rPr>
          <w:rStyle w:val="FontStyle30"/>
          <w:sz w:val="22"/>
          <w:szCs w:val="22"/>
        </w:rPr>
        <w:t xml:space="preserve">) разработаны </w:t>
      </w:r>
      <w:r w:rsidR="00E81923">
        <w:rPr>
          <w:rStyle w:val="FontStyle30"/>
          <w:sz w:val="22"/>
          <w:szCs w:val="22"/>
        </w:rPr>
        <w:t>ООО СК «Согласие-Вита» (далее – Компания)</w:t>
      </w:r>
      <w:r w:rsidR="00D335E7" w:rsidRPr="002A7BBA">
        <w:rPr>
          <w:rStyle w:val="FontStyle30"/>
          <w:sz w:val="22"/>
          <w:szCs w:val="22"/>
        </w:rPr>
        <w:t xml:space="preserve"> в </w:t>
      </w:r>
      <w:r w:rsidR="00D335E7" w:rsidRPr="002A7BBA">
        <w:rPr>
          <w:rStyle w:val="FontStyle36"/>
          <w:sz w:val="22"/>
          <w:szCs w:val="22"/>
        </w:rPr>
        <w:t xml:space="preserve">целях </w:t>
      </w:r>
      <w:r w:rsidR="00D335E7" w:rsidRPr="002A7BBA">
        <w:rPr>
          <w:rStyle w:val="FontStyle30"/>
          <w:sz w:val="22"/>
          <w:szCs w:val="22"/>
        </w:rPr>
        <w:t xml:space="preserve">исполнения требований законодательства Российской Федерации, в том числе Федерального закона от </w:t>
      </w:r>
      <w:r w:rsidRPr="002A7BBA">
        <w:rPr>
          <w:rStyle w:val="FontStyle36"/>
          <w:sz w:val="22"/>
          <w:szCs w:val="22"/>
        </w:rPr>
        <w:t>28.06.</w:t>
      </w:r>
      <w:r w:rsidR="00D335E7" w:rsidRPr="002A7BBA">
        <w:rPr>
          <w:rStyle w:val="FontStyle36"/>
          <w:sz w:val="22"/>
          <w:szCs w:val="22"/>
        </w:rPr>
        <w:t xml:space="preserve">2014 № </w:t>
      </w:r>
      <w:r w:rsidR="00D335E7" w:rsidRPr="002A7BBA">
        <w:rPr>
          <w:rStyle w:val="FontStyle37"/>
          <w:sz w:val="22"/>
          <w:szCs w:val="22"/>
        </w:rPr>
        <w:t xml:space="preserve">173-ФЗ </w:t>
      </w:r>
      <w:r w:rsidR="00D335E7" w:rsidRPr="002A7BBA">
        <w:rPr>
          <w:rStyle w:val="FontStyle30"/>
          <w:sz w:val="22"/>
          <w:szCs w:val="22"/>
        </w:rPr>
        <w:t xml:space="preserve">«Об особенностях осуществления финансовых операций </w:t>
      </w:r>
      <w:r w:rsidR="00D335E7" w:rsidRPr="002A7BBA">
        <w:rPr>
          <w:rStyle w:val="FontStyle36"/>
          <w:sz w:val="22"/>
          <w:szCs w:val="22"/>
        </w:rPr>
        <w:t xml:space="preserve">с </w:t>
      </w:r>
      <w:r w:rsidR="00D335E7" w:rsidRPr="002A7BBA">
        <w:rPr>
          <w:rStyle w:val="FontStyle30"/>
          <w:sz w:val="22"/>
          <w:szCs w:val="22"/>
        </w:rPr>
        <w:t xml:space="preserve">иностранными гражданами </w:t>
      </w:r>
      <w:r w:rsidR="00D335E7" w:rsidRPr="002A7BBA">
        <w:rPr>
          <w:rStyle w:val="FontStyle36"/>
          <w:sz w:val="22"/>
          <w:szCs w:val="22"/>
        </w:rPr>
        <w:t xml:space="preserve">и </w:t>
      </w:r>
      <w:r w:rsidR="00D335E7" w:rsidRPr="002A7BBA">
        <w:rPr>
          <w:rStyle w:val="FontStyle30"/>
          <w:sz w:val="22"/>
          <w:szCs w:val="22"/>
        </w:rPr>
        <w:t xml:space="preserve">юридическими лицами, о внесении изменений в Кодекс Российской Федерации об административных правонарушениях </w:t>
      </w:r>
      <w:r w:rsidR="00D335E7" w:rsidRPr="002A7BBA">
        <w:rPr>
          <w:rStyle w:val="FontStyle36"/>
          <w:sz w:val="22"/>
          <w:szCs w:val="22"/>
        </w:rPr>
        <w:t xml:space="preserve">и </w:t>
      </w:r>
      <w:r w:rsidR="00D335E7" w:rsidRPr="002A7BBA">
        <w:rPr>
          <w:rStyle w:val="FontStyle30"/>
          <w:sz w:val="22"/>
          <w:szCs w:val="22"/>
        </w:rPr>
        <w:t>признании утратившими силу отдельных положений законодатель</w:t>
      </w:r>
      <w:r w:rsidR="008B2940" w:rsidRPr="002A7BBA">
        <w:rPr>
          <w:rStyle w:val="FontStyle30"/>
          <w:sz w:val="22"/>
          <w:szCs w:val="22"/>
        </w:rPr>
        <w:t>ных актов Российской Федерации»</w:t>
      </w:r>
      <w:r w:rsidR="00174E64" w:rsidRPr="002A7BBA">
        <w:rPr>
          <w:rStyle w:val="FontStyle30"/>
          <w:sz w:val="22"/>
          <w:szCs w:val="22"/>
        </w:rPr>
        <w:t xml:space="preserve"> (далее – Закон)</w:t>
      </w:r>
      <w:r w:rsidR="008B2940" w:rsidRPr="002A7BBA">
        <w:rPr>
          <w:rStyle w:val="FontStyle30"/>
          <w:sz w:val="22"/>
          <w:szCs w:val="22"/>
        </w:rPr>
        <w:t>.</w:t>
      </w:r>
    </w:p>
    <w:p w:rsidR="000A2B2E" w:rsidRPr="002A7BBA" w:rsidRDefault="00E81923" w:rsidP="000A2B2E">
      <w:pPr>
        <w:widowControl/>
        <w:numPr>
          <w:ilvl w:val="1"/>
          <w:numId w:val="7"/>
        </w:numPr>
        <w:jc w:val="both"/>
        <w:rPr>
          <w:rFonts w:eastAsia="TimesNewRomanPSMT"/>
          <w:sz w:val="22"/>
          <w:szCs w:val="22"/>
        </w:rPr>
      </w:pPr>
      <w:r>
        <w:rPr>
          <w:rFonts w:eastAsia="TimesNewRomanPSMT"/>
          <w:sz w:val="22"/>
          <w:szCs w:val="22"/>
        </w:rPr>
        <w:t>Компания</w:t>
      </w:r>
      <w:r w:rsidR="00174E64" w:rsidRPr="002A7BBA">
        <w:rPr>
          <w:rFonts w:eastAsia="TimesNewRomanPSMT"/>
          <w:sz w:val="22"/>
          <w:szCs w:val="22"/>
        </w:rPr>
        <w:t xml:space="preserve"> </w:t>
      </w:r>
      <w:r w:rsidR="00745739" w:rsidRPr="002A7BBA">
        <w:rPr>
          <w:rFonts w:eastAsia="TimesNewRomanPSMT"/>
          <w:sz w:val="22"/>
          <w:szCs w:val="22"/>
        </w:rPr>
        <w:t xml:space="preserve">принимает обоснованные и доступные в сложившихся обстоятельствах меры по выявлению среди лиц, заключающих (заключивших) с </w:t>
      </w:r>
      <w:r>
        <w:rPr>
          <w:rFonts w:eastAsia="TimesNewRomanPSMT"/>
          <w:sz w:val="22"/>
          <w:szCs w:val="22"/>
        </w:rPr>
        <w:t>Компанией</w:t>
      </w:r>
      <w:r w:rsidR="00745739" w:rsidRPr="002A7BBA">
        <w:rPr>
          <w:rFonts w:eastAsia="TimesNewRomanPSMT"/>
          <w:sz w:val="22"/>
          <w:szCs w:val="22"/>
        </w:rPr>
        <w:t xml:space="preserve"> договор</w:t>
      </w:r>
      <w:r>
        <w:rPr>
          <w:rFonts w:eastAsia="TimesNewRomanPSMT"/>
          <w:sz w:val="22"/>
          <w:szCs w:val="22"/>
        </w:rPr>
        <w:t xml:space="preserve"> страхования жизни</w:t>
      </w:r>
      <w:r w:rsidR="00745739" w:rsidRPr="002A7BBA">
        <w:rPr>
          <w:rFonts w:eastAsia="TimesNewRomanPSMT"/>
          <w:sz w:val="22"/>
          <w:szCs w:val="22"/>
        </w:rPr>
        <w:t>,</w:t>
      </w:r>
      <w:r w:rsidR="0093424F" w:rsidRPr="002A7BBA">
        <w:rPr>
          <w:rFonts w:eastAsia="TimesNewRomanPSMT"/>
          <w:sz w:val="22"/>
          <w:szCs w:val="22"/>
        </w:rPr>
        <w:t xml:space="preserve"> а также их бенефициарных вла</w:t>
      </w:r>
      <w:r w:rsidR="000A2B2E" w:rsidRPr="002A7BBA">
        <w:rPr>
          <w:rFonts w:eastAsia="TimesNewRomanPSMT"/>
          <w:sz w:val="22"/>
          <w:szCs w:val="22"/>
        </w:rPr>
        <w:t xml:space="preserve">дельцев, </w:t>
      </w:r>
      <w:r w:rsidR="00174E64" w:rsidRPr="002A7BBA">
        <w:rPr>
          <w:rFonts w:eastAsia="TimesNewRomanPSMT"/>
          <w:sz w:val="22"/>
          <w:szCs w:val="22"/>
        </w:rPr>
        <w:t>тех</w:t>
      </w:r>
      <w:r w:rsidR="00745739" w:rsidRPr="002A7BBA">
        <w:rPr>
          <w:rFonts w:eastAsia="TimesNewRomanPSMT"/>
          <w:sz w:val="22"/>
          <w:szCs w:val="22"/>
        </w:rPr>
        <w:t xml:space="preserve"> лиц, на которых распространяется законодательство иностранного государства о налогообложении иностранных счетов (далее</w:t>
      </w:r>
      <w:r w:rsidR="00174E64" w:rsidRPr="002A7BBA">
        <w:rPr>
          <w:rFonts w:eastAsia="TimesNewRomanPSMT"/>
          <w:sz w:val="22"/>
          <w:szCs w:val="22"/>
        </w:rPr>
        <w:t xml:space="preserve"> </w:t>
      </w:r>
      <w:r w:rsidR="00174E64" w:rsidRPr="002A7BBA">
        <w:rPr>
          <w:rStyle w:val="FontStyle30"/>
          <w:sz w:val="22"/>
          <w:szCs w:val="22"/>
        </w:rPr>
        <w:t>–</w:t>
      </w:r>
      <w:r w:rsidR="00174E64" w:rsidRPr="002A7BBA">
        <w:rPr>
          <w:rFonts w:eastAsia="TimesNewRomanPSMT"/>
          <w:sz w:val="22"/>
          <w:szCs w:val="22"/>
        </w:rPr>
        <w:t xml:space="preserve"> </w:t>
      </w:r>
      <w:r w:rsidR="00745739" w:rsidRPr="002A7BBA">
        <w:rPr>
          <w:rFonts w:eastAsia="TimesNewRomanPSMT"/>
          <w:sz w:val="22"/>
          <w:szCs w:val="22"/>
        </w:rPr>
        <w:t>клиент</w:t>
      </w:r>
      <w:r w:rsidR="004F6D8A" w:rsidRPr="002A7BBA">
        <w:rPr>
          <w:rFonts w:eastAsia="TimesNewRomanPSMT"/>
          <w:sz w:val="22"/>
          <w:szCs w:val="22"/>
        </w:rPr>
        <w:t xml:space="preserve"> </w:t>
      </w:r>
      <w:r w:rsidR="004F6D8A" w:rsidRPr="002A7BBA">
        <w:rPr>
          <w:rStyle w:val="FontStyle30"/>
          <w:sz w:val="22"/>
          <w:szCs w:val="22"/>
        </w:rPr>
        <w:t>–</w:t>
      </w:r>
      <w:r w:rsidR="004F6D8A" w:rsidRPr="002A7BBA">
        <w:rPr>
          <w:rFonts w:eastAsia="TimesNewRomanPSMT"/>
          <w:sz w:val="22"/>
          <w:szCs w:val="22"/>
        </w:rPr>
        <w:t xml:space="preserve"> </w:t>
      </w:r>
      <w:r w:rsidR="00745739" w:rsidRPr="002A7BBA">
        <w:rPr>
          <w:rFonts w:eastAsia="TimesNewRomanPSMT"/>
          <w:sz w:val="22"/>
          <w:szCs w:val="22"/>
        </w:rPr>
        <w:t>иностранный налогоплательщик).</w:t>
      </w:r>
    </w:p>
    <w:p w:rsidR="00174E64" w:rsidRPr="002A7BBA" w:rsidRDefault="0026410B" w:rsidP="0096418A">
      <w:pPr>
        <w:pStyle w:val="1"/>
        <w:numPr>
          <w:ilvl w:val="0"/>
          <w:numId w:val="7"/>
        </w:numPr>
        <w:rPr>
          <w:rStyle w:val="FontStyle30"/>
          <w:sz w:val="32"/>
        </w:rPr>
      </w:pPr>
      <w:bookmarkStart w:id="7" w:name="_Toc67586424"/>
      <w:r w:rsidRPr="002A7BBA">
        <w:rPr>
          <w:rStyle w:val="FontStyle37"/>
          <w:sz w:val="32"/>
        </w:rPr>
        <w:t>Общие к</w:t>
      </w:r>
      <w:r w:rsidR="00174E64" w:rsidRPr="002A7BBA">
        <w:rPr>
          <w:rStyle w:val="FontStyle37"/>
          <w:sz w:val="32"/>
        </w:rPr>
        <w:t xml:space="preserve">ритерии отнесения клиентов </w:t>
      </w:r>
      <w:r w:rsidR="00E81923">
        <w:rPr>
          <w:rStyle w:val="FontStyle37"/>
          <w:sz w:val="32"/>
        </w:rPr>
        <w:t>Компании</w:t>
      </w:r>
      <w:r w:rsidR="00174E64" w:rsidRPr="002A7BBA">
        <w:rPr>
          <w:rStyle w:val="FontStyle37"/>
          <w:sz w:val="32"/>
        </w:rPr>
        <w:t xml:space="preserve"> </w:t>
      </w:r>
      <w:r w:rsidR="00174E64" w:rsidRPr="002A7BBA">
        <w:rPr>
          <w:rStyle w:val="FontStyle29"/>
          <w:b/>
          <w:spacing w:val="0"/>
          <w:sz w:val="32"/>
        </w:rPr>
        <w:t xml:space="preserve">к </w:t>
      </w:r>
      <w:r w:rsidR="00174E64" w:rsidRPr="002A7BBA">
        <w:rPr>
          <w:rStyle w:val="FontStyle37"/>
          <w:sz w:val="32"/>
        </w:rPr>
        <w:t>категории клиента</w:t>
      </w:r>
      <w:r w:rsidR="002202ED" w:rsidRPr="002A7BBA">
        <w:rPr>
          <w:rStyle w:val="FontStyle37"/>
          <w:sz w:val="32"/>
        </w:rPr>
        <w:t xml:space="preserve"> – </w:t>
      </w:r>
      <w:r w:rsidR="00174E64" w:rsidRPr="002A7BBA">
        <w:rPr>
          <w:rStyle w:val="FontStyle37"/>
          <w:sz w:val="32"/>
        </w:rPr>
        <w:t>иностранного н</w:t>
      </w:r>
      <w:r w:rsidR="004B600B" w:rsidRPr="002A7BBA">
        <w:rPr>
          <w:rStyle w:val="FontStyle30"/>
          <w:sz w:val="32"/>
        </w:rPr>
        <w:t>алогоплательщика</w:t>
      </w:r>
      <w:bookmarkEnd w:id="7"/>
    </w:p>
    <w:p w:rsidR="00745739" w:rsidRPr="002A7BBA" w:rsidRDefault="00E81923" w:rsidP="00561352">
      <w:pPr>
        <w:widowControl/>
        <w:numPr>
          <w:ilvl w:val="1"/>
          <w:numId w:val="7"/>
        </w:numPr>
        <w:jc w:val="both"/>
        <w:rPr>
          <w:rFonts w:eastAsia="TimesNewRomanPSMT"/>
          <w:sz w:val="22"/>
          <w:szCs w:val="22"/>
        </w:rPr>
      </w:pPr>
      <w:r>
        <w:rPr>
          <w:rFonts w:eastAsia="TimesNewRomanPSMT"/>
          <w:sz w:val="22"/>
          <w:szCs w:val="22"/>
        </w:rPr>
        <w:t xml:space="preserve">Компания </w:t>
      </w:r>
      <w:r w:rsidR="00561352" w:rsidRPr="002A7BBA">
        <w:rPr>
          <w:rFonts w:eastAsia="TimesNewRomanPSMT"/>
          <w:sz w:val="22"/>
          <w:szCs w:val="22"/>
        </w:rPr>
        <w:t xml:space="preserve">устанавливает </w:t>
      </w:r>
      <w:r w:rsidR="00745739" w:rsidRPr="002A7BBA">
        <w:rPr>
          <w:rFonts w:eastAsia="TimesNewRomanPSMT"/>
          <w:sz w:val="22"/>
          <w:szCs w:val="22"/>
        </w:rPr>
        <w:t xml:space="preserve">следующие </w:t>
      </w:r>
      <w:r w:rsidR="0026410B" w:rsidRPr="002A7BBA">
        <w:rPr>
          <w:rFonts w:eastAsia="TimesNewRomanPSMT"/>
          <w:sz w:val="22"/>
          <w:szCs w:val="22"/>
        </w:rPr>
        <w:t xml:space="preserve">общие </w:t>
      </w:r>
      <w:r w:rsidR="00561352" w:rsidRPr="002A7BBA">
        <w:rPr>
          <w:rFonts w:eastAsia="TimesNewRomanPSMT"/>
          <w:sz w:val="22"/>
          <w:szCs w:val="22"/>
        </w:rPr>
        <w:t xml:space="preserve">критерии отнесения </w:t>
      </w:r>
      <w:r w:rsidR="00E852A9" w:rsidRPr="002A7BBA">
        <w:rPr>
          <w:rFonts w:eastAsia="TimesNewRomanPSMT"/>
          <w:b/>
          <w:sz w:val="22"/>
          <w:szCs w:val="22"/>
        </w:rPr>
        <w:t>к</w:t>
      </w:r>
      <w:r w:rsidR="0026410B" w:rsidRPr="002A7BBA">
        <w:rPr>
          <w:rFonts w:eastAsia="TimesNewRomanPSMT"/>
          <w:b/>
          <w:sz w:val="22"/>
          <w:szCs w:val="22"/>
        </w:rPr>
        <w:t>лиентов</w:t>
      </w:r>
      <w:r w:rsidR="004F6D8A" w:rsidRPr="002A7BBA">
        <w:rPr>
          <w:rFonts w:eastAsia="TimesNewRomanPSMT"/>
          <w:b/>
          <w:sz w:val="22"/>
          <w:szCs w:val="22"/>
        </w:rPr>
        <w:t xml:space="preserve"> </w:t>
      </w:r>
      <w:r w:rsidR="004F6D8A" w:rsidRPr="002A7BBA">
        <w:rPr>
          <w:rStyle w:val="FontStyle30"/>
          <w:sz w:val="22"/>
          <w:szCs w:val="22"/>
        </w:rPr>
        <w:t>–</w:t>
      </w:r>
      <w:r w:rsidR="004F6D8A" w:rsidRPr="002A7BBA">
        <w:rPr>
          <w:rFonts w:eastAsia="TimesNewRomanPSMT"/>
          <w:b/>
          <w:sz w:val="22"/>
          <w:szCs w:val="22"/>
        </w:rPr>
        <w:t xml:space="preserve"> </w:t>
      </w:r>
      <w:r w:rsidR="0026410B" w:rsidRPr="002A7BBA">
        <w:rPr>
          <w:rFonts w:eastAsia="TimesNewRomanPSMT"/>
          <w:b/>
          <w:sz w:val="22"/>
          <w:szCs w:val="22"/>
        </w:rPr>
        <w:t>физических лиц</w:t>
      </w:r>
      <w:r w:rsidR="0026410B" w:rsidRPr="002A7BBA">
        <w:rPr>
          <w:rFonts w:eastAsia="TimesNewRomanPSMT"/>
          <w:sz w:val="22"/>
          <w:szCs w:val="22"/>
        </w:rPr>
        <w:t>, включая индивидуальных предпринимателей и лиц, занимающихся в установленном законодательством порядке частной практикой,</w:t>
      </w:r>
      <w:r w:rsidR="00561352" w:rsidRPr="002A7BBA">
        <w:rPr>
          <w:rFonts w:eastAsia="TimesNewRomanPSMT"/>
          <w:sz w:val="22"/>
          <w:szCs w:val="22"/>
        </w:rPr>
        <w:t xml:space="preserve"> </w:t>
      </w:r>
      <w:r w:rsidR="00745739" w:rsidRPr="002A7BBA">
        <w:rPr>
          <w:rFonts w:eastAsia="TimesNewRomanPSMT"/>
          <w:sz w:val="22"/>
          <w:szCs w:val="22"/>
        </w:rPr>
        <w:t>к категории клиента</w:t>
      </w:r>
      <w:r w:rsidR="004F6D8A" w:rsidRPr="002A7BBA">
        <w:rPr>
          <w:rFonts w:eastAsia="TimesNewRomanPSMT"/>
          <w:sz w:val="22"/>
          <w:szCs w:val="22"/>
        </w:rPr>
        <w:t xml:space="preserve"> </w:t>
      </w:r>
      <w:r w:rsidR="004F6D8A" w:rsidRPr="002A7BBA">
        <w:rPr>
          <w:rStyle w:val="FontStyle30"/>
          <w:sz w:val="22"/>
          <w:szCs w:val="22"/>
        </w:rPr>
        <w:t>–</w:t>
      </w:r>
      <w:r w:rsidR="004F6D8A" w:rsidRPr="002A7BBA">
        <w:rPr>
          <w:rFonts w:eastAsia="TimesNewRomanPSMT"/>
          <w:sz w:val="22"/>
          <w:szCs w:val="22"/>
        </w:rPr>
        <w:t xml:space="preserve"> </w:t>
      </w:r>
      <w:r w:rsidR="00745739" w:rsidRPr="002A7BBA">
        <w:rPr>
          <w:rFonts w:eastAsia="TimesNewRomanPSMT"/>
          <w:sz w:val="22"/>
          <w:szCs w:val="22"/>
        </w:rPr>
        <w:t>иностранного</w:t>
      </w:r>
      <w:r w:rsidR="00174E64" w:rsidRPr="002A7BBA">
        <w:rPr>
          <w:rFonts w:eastAsia="TimesNewRomanPSMT"/>
          <w:sz w:val="22"/>
          <w:szCs w:val="22"/>
        </w:rPr>
        <w:t xml:space="preserve"> </w:t>
      </w:r>
      <w:r w:rsidR="00745739" w:rsidRPr="002A7BBA">
        <w:rPr>
          <w:rFonts w:eastAsia="TimesNewRomanPSMT"/>
          <w:sz w:val="22"/>
          <w:szCs w:val="22"/>
        </w:rPr>
        <w:t>налогоплательщика:</w:t>
      </w:r>
    </w:p>
    <w:p w:rsidR="00561352" w:rsidRPr="002A7BBA" w:rsidRDefault="00561352" w:rsidP="00561352">
      <w:pPr>
        <w:widowControl/>
        <w:numPr>
          <w:ilvl w:val="2"/>
          <w:numId w:val="7"/>
        </w:numPr>
        <w:jc w:val="both"/>
        <w:rPr>
          <w:rFonts w:eastAsia="TimesNewRomanPSMT"/>
          <w:sz w:val="22"/>
          <w:szCs w:val="22"/>
        </w:rPr>
      </w:pPr>
      <w:r w:rsidRPr="002A7BBA">
        <w:rPr>
          <w:rFonts w:eastAsia="TimesNewRomanPSMT"/>
          <w:sz w:val="22"/>
          <w:szCs w:val="22"/>
        </w:rPr>
        <w:t>клиент – физическое лицо не является гражданином Российской Федерации;</w:t>
      </w:r>
    </w:p>
    <w:p w:rsidR="00561352" w:rsidRPr="002A7BBA" w:rsidRDefault="00561352" w:rsidP="0026410B">
      <w:pPr>
        <w:widowControl/>
        <w:numPr>
          <w:ilvl w:val="2"/>
          <w:numId w:val="7"/>
        </w:numPr>
        <w:jc w:val="both"/>
        <w:rPr>
          <w:rFonts w:eastAsia="TimesNewRomanPSMT"/>
          <w:sz w:val="22"/>
          <w:szCs w:val="22"/>
        </w:rPr>
      </w:pPr>
      <w:r w:rsidRPr="002A7BBA">
        <w:rPr>
          <w:rFonts w:eastAsia="TimesNewRomanPSMT"/>
          <w:sz w:val="22"/>
          <w:szCs w:val="22"/>
        </w:rPr>
        <w:t>клиент – физическое лицо имеет одновременно с гражданством Российской Федерации гражданство иностранного государства (</w:t>
      </w:r>
      <w:r w:rsidR="0026410B" w:rsidRPr="002A7BBA">
        <w:rPr>
          <w:rFonts w:eastAsia="TimesNewRomanPSMT"/>
          <w:sz w:val="22"/>
          <w:szCs w:val="22"/>
        </w:rPr>
        <w:t xml:space="preserve">за исключением </w:t>
      </w:r>
      <w:r w:rsidRPr="002A7BBA">
        <w:rPr>
          <w:rFonts w:eastAsia="TimesNewRomanPSMT"/>
          <w:sz w:val="22"/>
          <w:szCs w:val="22"/>
        </w:rPr>
        <w:t xml:space="preserve">гражданства государства </w:t>
      </w:r>
      <w:r w:rsidRPr="002A7BBA">
        <w:rPr>
          <w:rStyle w:val="FontStyle30"/>
          <w:sz w:val="22"/>
          <w:szCs w:val="22"/>
        </w:rPr>
        <w:t>–</w:t>
      </w:r>
      <w:r w:rsidRPr="002A7BBA">
        <w:rPr>
          <w:rFonts w:eastAsia="TimesNewRomanPSMT"/>
          <w:sz w:val="22"/>
          <w:szCs w:val="22"/>
        </w:rPr>
        <w:t xml:space="preserve"> члена Таможенного союза)</w:t>
      </w:r>
      <w:r w:rsidR="0026410B" w:rsidRPr="002A7BBA">
        <w:rPr>
          <w:rFonts w:eastAsia="TimesNewRomanPSMT"/>
          <w:sz w:val="22"/>
          <w:szCs w:val="22"/>
        </w:rPr>
        <w:t>;</w:t>
      </w:r>
    </w:p>
    <w:p w:rsidR="0026410B" w:rsidRPr="002A7BBA" w:rsidRDefault="0026410B" w:rsidP="0026410B">
      <w:pPr>
        <w:widowControl/>
        <w:numPr>
          <w:ilvl w:val="2"/>
          <w:numId w:val="7"/>
        </w:numPr>
        <w:jc w:val="both"/>
        <w:rPr>
          <w:rFonts w:eastAsia="TimesNewRomanPSMT"/>
          <w:sz w:val="22"/>
          <w:szCs w:val="22"/>
        </w:rPr>
      </w:pPr>
      <w:r w:rsidRPr="002A7BBA">
        <w:rPr>
          <w:rFonts w:eastAsia="TimesNewRomanPSMT"/>
          <w:sz w:val="22"/>
          <w:szCs w:val="22"/>
        </w:rPr>
        <w:t>клиент – физическое лицо имеет одновременно с гражданством Российской Федерации вид на жительство в иностранном государстве.</w:t>
      </w:r>
    </w:p>
    <w:p w:rsidR="0026410B" w:rsidRPr="002A7BBA" w:rsidRDefault="00E81923" w:rsidP="0026410B">
      <w:pPr>
        <w:widowControl/>
        <w:numPr>
          <w:ilvl w:val="1"/>
          <w:numId w:val="7"/>
        </w:numPr>
        <w:jc w:val="both"/>
        <w:rPr>
          <w:rFonts w:eastAsia="TimesNewRomanPSMT"/>
          <w:sz w:val="22"/>
          <w:szCs w:val="22"/>
        </w:rPr>
      </w:pPr>
      <w:r>
        <w:rPr>
          <w:rFonts w:eastAsia="TimesNewRomanPSMT"/>
          <w:sz w:val="22"/>
          <w:szCs w:val="22"/>
        </w:rPr>
        <w:lastRenderedPageBreak/>
        <w:t>Компания</w:t>
      </w:r>
      <w:r w:rsidR="0026410B" w:rsidRPr="002A7BBA">
        <w:rPr>
          <w:rFonts w:eastAsia="TimesNewRomanPSMT"/>
          <w:sz w:val="22"/>
          <w:szCs w:val="22"/>
        </w:rPr>
        <w:t xml:space="preserve"> устанавливает следующие общие критерии отнесения </w:t>
      </w:r>
      <w:r w:rsidR="00E852A9" w:rsidRPr="002A7BBA">
        <w:rPr>
          <w:rFonts w:eastAsia="TimesNewRomanPSMT"/>
          <w:b/>
          <w:sz w:val="22"/>
          <w:szCs w:val="22"/>
        </w:rPr>
        <w:t>к</w:t>
      </w:r>
      <w:r w:rsidR="0026410B" w:rsidRPr="002A7BBA">
        <w:rPr>
          <w:rFonts w:eastAsia="TimesNewRomanPSMT"/>
          <w:b/>
          <w:sz w:val="22"/>
          <w:szCs w:val="22"/>
        </w:rPr>
        <w:t>лиентов</w:t>
      </w:r>
      <w:r w:rsidR="004F6D8A" w:rsidRPr="002A7BBA">
        <w:rPr>
          <w:rFonts w:eastAsia="TimesNewRomanPSMT"/>
          <w:b/>
          <w:sz w:val="22"/>
          <w:szCs w:val="22"/>
        </w:rPr>
        <w:t xml:space="preserve"> </w:t>
      </w:r>
      <w:r w:rsidR="004F6D8A" w:rsidRPr="002A7BBA">
        <w:rPr>
          <w:rStyle w:val="FontStyle30"/>
          <w:sz w:val="22"/>
          <w:szCs w:val="22"/>
        </w:rPr>
        <w:t>–</w:t>
      </w:r>
      <w:r w:rsidR="004F6D8A" w:rsidRPr="002A7BBA">
        <w:rPr>
          <w:rFonts w:eastAsia="TimesNewRomanPSMT"/>
          <w:b/>
          <w:sz w:val="22"/>
          <w:szCs w:val="22"/>
        </w:rPr>
        <w:t xml:space="preserve"> </w:t>
      </w:r>
      <w:r w:rsidR="0026410B" w:rsidRPr="002A7BBA">
        <w:rPr>
          <w:rFonts w:eastAsia="TimesNewRomanPSMT"/>
          <w:b/>
          <w:sz w:val="22"/>
          <w:szCs w:val="22"/>
        </w:rPr>
        <w:t>юридических лиц</w:t>
      </w:r>
      <w:r w:rsidR="0026410B" w:rsidRPr="002A7BBA">
        <w:rPr>
          <w:rFonts w:eastAsia="TimesNewRomanPSMT"/>
          <w:sz w:val="22"/>
          <w:szCs w:val="22"/>
        </w:rPr>
        <w:t xml:space="preserve"> к категории клиента</w:t>
      </w:r>
      <w:r w:rsidR="002202ED" w:rsidRPr="002A7BBA">
        <w:rPr>
          <w:rFonts w:eastAsia="TimesNewRomanPSMT"/>
          <w:sz w:val="22"/>
          <w:szCs w:val="22"/>
        </w:rPr>
        <w:t xml:space="preserve"> – </w:t>
      </w:r>
      <w:r w:rsidR="0026410B" w:rsidRPr="002A7BBA">
        <w:rPr>
          <w:rFonts w:eastAsia="TimesNewRomanPSMT"/>
          <w:sz w:val="22"/>
          <w:szCs w:val="22"/>
        </w:rPr>
        <w:t>иностранного налогоплательщика:</w:t>
      </w:r>
    </w:p>
    <w:p w:rsidR="0026410B" w:rsidRPr="002A7BBA" w:rsidRDefault="0026410B" w:rsidP="0026410B">
      <w:pPr>
        <w:widowControl/>
        <w:numPr>
          <w:ilvl w:val="2"/>
          <w:numId w:val="7"/>
        </w:numPr>
        <w:jc w:val="both"/>
        <w:rPr>
          <w:rFonts w:eastAsia="TimesNewRomanPSMT"/>
          <w:sz w:val="22"/>
          <w:szCs w:val="22"/>
        </w:rPr>
      </w:pPr>
      <w:r w:rsidRPr="002A7BBA">
        <w:rPr>
          <w:rFonts w:eastAsia="TimesNewRomanPSMT"/>
          <w:sz w:val="22"/>
          <w:szCs w:val="22"/>
        </w:rPr>
        <w:t>клиент – юридическое лицо создано в соответствии с законодательством государства, отличного от Российской Федерации;</w:t>
      </w:r>
    </w:p>
    <w:p w:rsidR="0026410B" w:rsidRPr="002A7BBA" w:rsidRDefault="0026410B" w:rsidP="0026410B">
      <w:pPr>
        <w:widowControl/>
        <w:numPr>
          <w:ilvl w:val="2"/>
          <w:numId w:val="7"/>
        </w:numPr>
        <w:jc w:val="both"/>
        <w:rPr>
          <w:rFonts w:eastAsia="TimesNewRomanPSMT"/>
          <w:sz w:val="22"/>
          <w:szCs w:val="22"/>
        </w:rPr>
      </w:pPr>
      <w:r w:rsidRPr="002A7BBA">
        <w:rPr>
          <w:rFonts w:eastAsia="TimesNewRomanPSMT"/>
          <w:sz w:val="22"/>
          <w:szCs w:val="22"/>
        </w:rPr>
        <w:t xml:space="preserve">клиент – юридическое лицо создано в соответствии с законодательством Российской Федерации, при этом не менее 10 процентов акций (долей) уставного капитала прямо или косвенно контролируются </w:t>
      </w:r>
      <w:r w:rsidR="004B600B" w:rsidRPr="002A7BBA">
        <w:rPr>
          <w:rFonts w:eastAsia="TimesNewRomanPSMT"/>
          <w:sz w:val="22"/>
          <w:szCs w:val="22"/>
        </w:rPr>
        <w:t xml:space="preserve">физическими </w:t>
      </w:r>
      <w:r w:rsidRPr="002A7BBA">
        <w:rPr>
          <w:rFonts w:eastAsia="TimesNewRomanPSMT"/>
          <w:sz w:val="22"/>
          <w:szCs w:val="22"/>
        </w:rPr>
        <w:t xml:space="preserve">лицами, </w:t>
      </w:r>
      <w:r w:rsidR="004B600B" w:rsidRPr="002A7BBA">
        <w:rPr>
          <w:rFonts w:eastAsia="TimesNewRomanPSMT"/>
          <w:sz w:val="22"/>
          <w:szCs w:val="22"/>
        </w:rPr>
        <w:t>относящимися к категории клиента</w:t>
      </w:r>
      <w:r w:rsidR="004F6D8A" w:rsidRPr="002A7BBA">
        <w:rPr>
          <w:rFonts w:eastAsia="TimesNewRomanPSMT"/>
          <w:sz w:val="22"/>
          <w:szCs w:val="22"/>
        </w:rPr>
        <w:t xml:space="preserve"> </w:t>
      </w:r>
      <w:r w:rsidR="004F6D8A" w:rsidRPr="002A7BBA">
        <w:rPr>
          <w:rStyle w:val="FontStyle30"/>
          <w:sz w:val="22"/>
          <w:szCs w:val="22"/>
        </w:rPr>
        <w:t>–</w:t>
      </w:r>
      <w:r w:rsidR="004B600B" w:rsidRPr="002A7BBA">
        <w:rPr>
          <w:rFonts w:eastAsia="TimesNewRomanPSMT"/>
          <w:sz w:val="22"/>
          <w:szCs w:val="22"/>
        </w:rPr>
        <w:t>иностранного налогоплательщика, в соответствии с критериями, указанными в п.п. 2.1.1.</w:t>
      </w:r>
      <w:r w:rsidR="002202ED" w:rsidRPr="002A7BBA">
        <w:rPr>
          <w:rFonts w:eastAsia="TimesNewRomanPSMT"/>
          <w:sz w:val="22"/>
          <w:szCs w:val="22"/>
        </w:rPr>
        <w:t xml:space="preserve"> – </w:t>
      </w:r>
      <w:r w:rsidR="004B600B" w:rsidRPr="002A7BBA">
        <w:rPr>
          <w:rFonts w:eastAsia="TimesNewRomanPSMT"/>
          <w:sz w:val="22"/>
          <w:szCs w:val="22"/>
        </w:rPr>
        <w:t xml:space="preserve"> 2.1.3. настоящего Документа</w:t>
      </w:r>
      <w:r w:rsidR="007B646A" w:rsidRPr="002A7BBA">
        <w:rPr>
          <w:rFonts w:eastAsia="TimesNewRomanPSMT"/>
          <w:sz w:val="22"/>
          <w:szCs w:val="22"/>
        </w:rPr>
        <w:t>, или юридическими лицами, зарегистрированными в</w:t>
      </w:r>
      <w:r w:rsidR="008A7277" w:rsidRPr="002A7BBA">
        <w:rPr>
          <w:rFonts w:eastAsia="TimesNewRomanPSMT"/>
          <w:sz w:val="22"/>
          <w:szCs w:val="22"/>
        </w:rPr>
        <w:t xml:space="preserve"> </w:t>
      </w:r>
      <w:r w:rsidR="007B646A" w:rsidRPr="002A7BBA">
        <w:rPr>
          <w:rFonts w:eastAsia="TimesNewRomanPSMT"/>
          <w:sz w:val="22"/>
          <w:szCs w:val="22"/>
        </w:rPr>
        <w:t>соответствии с законодательством государства, отличного от Российской Федерации</w:t>
      </w:r>
      <w:r w:rsidR="004B600B" w:rsidRPr="002A7BBA">
        <w:rPr>
          <w:rFonts w:eastAsia="TimesNewRomanPSMT"/>
          <w:sz w:val="22"/>
          <w:szCs w:val="22"/>
        </w:rPr>
        <w:t>.</w:t>
      </w:r>
    </w:p>
    <w:p w:rsidR="00634267" w:rsidRPr="002A7BBA" w:rsidRDefault="00634267" w:rsidP="0033617B">
      <w:pPr>
        <w:widowControl/>
        <w:numPr>
          <w:ilvl w:val="1"/>
          <w:numId w:val="7"/>
        </w:numPr>
        <w:jc w:val="both"/>
        <w:rPr>
          <w:rFonts w:eastAsia="TimesNewRomanPSMT"/>
          <w:sz w:val="22"/>
          <w:szCs w:val="22"/>
        </w:rPr>
      </w:pPr>
      <w:r w:rsidRPr="002A7BBA">
        <w:rPr>
          <w:sz w:val="22"/>
          <w:szCs w:val="22"/>
        </w:rPr>
        <w:t xml:space="preserve">Данные критерии могут не являться для </w:t>
      </w:r>
      <w:r w:rsidR="00E81923">
        <w:rPr>
          <w:sz w:val="22"/>
          <w:szCs w:val="22"/>
        </w:rPr>
        <w:t>Компании</w:t>
      </w:r>
      <w:r w:rsidRPr="002A7BBA">
        <w:rPr>
          <w:sz w:val="22"/>
          <w:szCs w:val="22"/>
        </w:rPr>
        <w:t xml:space="preserve"> исчерпывающими. Наличие других критериев выявляется исходя из анализа полученных сведений от </w:t>
      </w:r>
      <w:r w:rsidR="004E3D35" w:rsidRPr="002A7BBA">
        <w:rPr>
          <w:sz w:val="22"/>
          <w:szCs w:val="22"/>
        </w:rPr>
        <w:t>к</w:t>
      </w:r>
      <w:r w:rsidRPr="002A7BBA">
        <w:rPr>
          <w:sz w:val="22"/>
          <w:szCs w:val="22"/>
        </w:rPr>
        <w:t>лиента.</w:t>
      </w:r>
    </w:p>
    <w:p w:rsidR="0033617B" w:rsidRPr="002A7BBA" w:rsidRDefault="0033617B" w:rsidP="0033617B">
      <w:pPr>
        <w:widowControl/>
        <w:numPr>
          <w:ilvl w:val="1"/>
          <w:numId w:val="7"/>
        </w:numPr>
        <w:jc w:val="both"/>
        <w:rPr>
          <w:rFonts w:eastAsia="TimesNewRomanPSMT"/>
          <w:sz w:val="22"/>
          <w:szCs w:val="22"/>
        </w:rPr>
      </w:pPr>
      <w:r w:rsidRPr="002A7BBA">
        <w:rPr>
          <w:rFonts w:eastAsia="TimesNewRomanPSMT"/>
          <w:sz w:val="22"/>
          <w:szCs w:val="22"/>
        </w:rPr>
        <w:t>Окончательное решение об отнесении клиента к категории клиента</w:t>
      </w:r>
      <w:r w:rsidR="004F6D8A" w:rsidRPr="002A7BBA">
        <w:rPr>
          <w:rFonts w:eastAsia="TimesNewRomanPSMT"/>
          <w:sz w:val="22"/>
          <w:szCs w:val="22"/>
        </w:rPr>
        <w:t xml:space="preserve"> </w:t>
      </w:r>
      <w:r w:rsidR="004F6D8A" w:rsidRPr="002A7BBA">
        <w:rPr>
          <w:rStyle w:val="FontStyle30"/>
          <w:sz w:val="22"/>
          <w:szCs w:val="22"/>
        </w:rPr>
        <w:t xml:space="preserve">– </w:t>
      </w:r>
      <w:r w:rsidRPr="002A7BBA">
        <w:rPr>
          <w:rFonts w:eastAsia="TimesNewRomanPSMT"/>
          <w:sz w:val="22"/>
          <w:szCs w:val="22"/>
        </w:rPr>
        <w:t xml:space="preserve">иностранного налогоплательщика принимается </w:t>
      </w:r>
      <w:r w:rsidR="00E81923">
        <w:rPr>
          <w:rFonts w:eastAsia="TimesNewRomanPSMT"/>
          <w:sz w:val="22"/>
          <w:szCs w:val="22"/>
        </w:rPr>
        <w:t>Компанией</w:t>
      </w:r>
      <w:r w:rsidRPr="002A7BBA">
        <w:rPr>
          <w:rFonts w:eastAsia="TimesNewRomanPSMT"/>
          <w:sz w:val="22"/>
          <w:szCs w:val="22"/>
        </w:rPr>
        <w:t xml:space="preserve"> на основании анализа всех документов и информации, полученных от клиента.</w:t>
      </w:r>
    </w:p>
    <w:p w:rsidR="00421CCC" w:rsidRPr="002A7BBA" w:rsidRDefault="00421CCC" w:rsidP="00421CCC">
      <w:pPr>
        <w:pStyle w:val="1"/>
        <w:numPr>
          <w:ilvl w:val="0"/>
          <w:numId w:val="7"/>
        </w:numPr>
        <w:rPr>
          <w:rFonts w:ascii="Times New Roman" w:hAnsi="Times New Roman"/>
        </w:rPr>
      </w:pPr>
      <w:bookmarkStart w:id="8" w:name="_Toc67586425"/>
      <w:r w:rsidRPr="002A7BBA">
        <w:rPr>
          <w:rStyle w:val="FontStyle37"/>
          <w:sz w:val="32"/>
        </w:rPr>
        <w:t xml:space="preserve">Критерии отнесения клиентов </w:t>
      </w:r>
      <w:r>
        <w:rPr>
          <w:rStyle w:val="FontStyle37"/>
          <w:sz w:val="32"/>
        </w:rPr>
        <w:t>Компании</w:t>
      </w:r>
      <w:r w:rsidRPr="002A7BBA">
        <w:rPr>
          <w:rStyle w:val="FontStyle37"/>
          <w:sz w:val="32"/>
        </w:rPr>
        <w:t xml:space="preserve"> </w:t>
      </w:r>
      <w:r w:rsidRPr="002A7BBA">
        <w:rPr>
          <w:rStyle w:val="FontStyle29"/>
          <w:b/>
          <w:spacing w:val="0"/>
          <w:sz w:val="32"/>
        </w:rPr>
        <w:t xml:space="preserve">к </w:t>
      </w:r>
      <w:r w:rsidRPr="002A7BBA">
        <w:rPr>
          <w:rStyle w:val="FontStyle37"/>
          <w:sz w:val="32"/>
        </w:rPr>
        <w:t xml:space="preserve">категории клиента </w:t>
      </w:r>
      <w:r w:rsidRPr="002A7BBA">
        <w:rPr>
          <w:rStyle w:val="FontStyle30"/>
          <w:sz w:val="22"/>
          <w:szCs w:val="22"/>
        </w:rPr>
        <w:t xml:space="preserve">– </w:t>
      </w:r>
      <w:r w:rsidRPr="002A7BBA">
        <w:rPr>
          <w:rStyle w:val="FontStyle37"/>
          <w:sz w:val="32"/>
        </w:rPr>
        <w:t>н</w:t>
      </w:r>
      <w:r w:rsidRPr="002A7BBA">
        <w:rPr>
          <w:rStyle w:val="FontStyle30"/>
          <w:sz w:val="32"/>
        </w:rPr>
        <w:t>алогоплательщика США</w:t>
      </w:r>
      <w:bookmarkEnd w:id="8"/>
    </w:p>
    <w:p w:rsidR="00421CCC" w:rsidRPr="002A7BBA" w:rsidRDefault="00421CCC" w:rsidP="00421CCC">
      <w:pPr>
        <w:widowControl/>
        <w:numPr>
          <w:ilvl w:val="1"/>
          <w:numId w:val="7"/>
        </w:numPr>
        <w:jc w:val="both"/>
        <w:rPr>
          <w:rFonts w:eastAsia="TimesNewRomanPSMT"/>
          <w:sz w:val="22"/>
          <w:szCs w:val="22"/>
        </w:rPr>
      </w:pPr>
      <w:r>
        <w:rPr>
          <w:rFonts w:eastAsia="TimesNewRomanPSMT"/>
          <w:sz w:val="22"/>
          <w:szCs w:val="22"/>
        </w:rPr>
        <w:t>Компания</w:t>
      </w:r>
      <w:r w:rsidRPr="002A7BBA">
        <w:rPr>
          <w:rFonts w:eastAsia="TimesNewRomanPSMT"/>
          <w:sz w:val="22"/>
          <w:szCs w:val="22"/>
        </w:rPr>
        <w:t xml:space="preserve"> устанавливает следующие критерии отнесения </w:t>
      </w:r>
      <w:r w:rsidRPr="002A7BBA">
        <w:rPr>
          <w:rFonts w:eastAsia="TimesNewRomanPSMT"/>
          <w:b/>
          <w:sz w:val="22"/>
          <w:szCs w:val="22"/>
        </w:rPr>
        <w:t xml:space="preserve">клиентов </w:t>
      </w:r>
      <w:r w:rsidRPr="002A7BBA">
        <w:rPr>
          <w:rStyle w:val="FontStyle30"/>
          <w:sz w:val="22"/>
          <w:szCs w:val="22"/>
        </w:rPr>
        <w:t>–</w:t>
      </w:r>
      <w:r w:rsidRPr="002A7BBA">
        <w:rPr>
          <w:rFonts w:eastAsia="TimesNewRomanPSMT"/>
          <w:b/>
          <w:sz w:val="22"/>
          <w:szCs w:val="22"/>
        </w:rPr>
        <w:t xml:space="preserve"> физических лиц</w:t>
      </w:r>
      <w:r w:rsidRPr="002A7BBA">
        <w:rPr>
          <w:rFonts w:eastAsia="TimesNewRomanPSMT"/>
          <w:sz w:val="22"/>
          <w:szCs w:val="22"/>
        </w:rPr>
        <w:t xml:space="preserve">, включая индивидуальных предпринимателей и лиц, занимающихся в установленном законодательством порядке частной практикой, к категории клиента </w:t>
      </w:r>
      <w:r w:rsidRPr="002A7BBA">
        <w:rPr>
          <w:rStyle w:val="FontStyle30"/>
          <w:sz w:val="22"/>
          <w:szCs w:val="22"/>
        </w:rPr>
        <w:t xml:space="preserve">– </w:t>
      </w:r>
      <w:r w:rsidRPr="002A7BBA">
        <w:rPr>
          <w:rFonts w:eastAsia="TimesNewRomanPSMT"/>
          <w:sz w:val="22"/>
          <w:szCs w:val="22"/>
        </w:rPr>
        <w:t xml:space="preserve">иностранного налогоплательщика, на которых распространяется действие Закона США от 18.03.2010г. «О налогообложении иностранных счетов» (Foreign Account Tax Compliance Act (далее </w:t>
      </w:r>
      <w:r w:rsidRPr="002A7BBA">
        <w:rPr>
          <w:rStyle w:val="FontStyle30"/>
          <w:sz w:val="22"/>
          <w:szCs w:val="22"/>
        </w:rPr>
        <w:t>–</w:t>
      </w:r>
      <w:r w:rsidRPr="002A7BBA">
        <w:rPr>
          <w:rFonts w:eastAsia="TimesNewRomanPSMT"/>
          <w:sz w:val="22"/>
          <w:szCs w:val="22"/>
        </w:rPr>
        <w:t xml:space="preserve"> FATCA)):</w:t>
      </w:r>
    </w:p>
    <w:p w:rsidR="00421CCC" w:rsidRPr="002A7BBA" w:rsidRDefault="00421CCC" w:rsidP="00421CCC">
      <w:pPr>
        <w:widowControl/>
        <w:numPr>
          <w:ilvl w:val="2"/>
          <w:numId w:val="7"/>
        </w:numPr>
        <w:jc w:val="both"/>
        <w:rPr>
          <w:rFonts w:eastAsia="TimesNewRomanPSMT"/>
          <w:sz w:val="22"/>
          <w:szCs w:val="22"/>
        </w:rPr>
      </w:pPr>
      <w:r w:rsidRPr="002A7BBA">
        <w:rPr>
          <w:rFonts w:eastAsia="TimesNewRomanPSMT"/>
          <w:sz w:val="22"/>
          <w:szCs w:val="22"/>
        </w:rPr>
        <w:t>клиент – физическое лицо является гражданином США. В соответствии с разъяснениями Службы гражданства и иммиграции США (</w:t>
      </w:r>
      <w:r w:rsidRPr="002A7BBA">
        <w:rPr>
          <w:iCs/>
          <w:color w:val="252525"/>
          <w:sz w:val="22"/>
          <w:szCs w:val="22"/>
          <w:shd w:val="clear" w:color="auto" w:fill="FFFFFF"/>
          <w:lang w:val="en"/>
        </w:rPr>
        <w:t>United</w:t>
      </w:r>
      <w:r w:rsidRPr="002A7BBA">
        <w:rPr>
          <w:iCs/>
          <w:color w:val="252525"/>
          <w:sz w:val="22"/>
          <w:szCs w:val="22"/>
          <w:shd w:val="clear" w:color="auto" w:fill="FFFFFF"/>
        </w:rPr>
        <w:t xml:space="preserve"> </w:t>
      </w:r>
      <w:r w:rsidRPr="002A7BBA">
        <w:rPr>
          <w:iCs/>
          <w:color w:val="252525"/>
          <w:sz w:val="22"/>
          <w:szCs w:val="22"/>
          <w:shd w:val="clear" w:color="auto" w:fill="FFFFFF"/>
          <w:lang w:val="en"/>
        </w:rPr>
        <w:t>States</w:t>
      </w:r>
      <w:r w:rsidRPr="002A7BBA">
        <w:rPr>
          <w:iCs/>
          <w:color w:val="252525"/>
          <w:sz w:val="22"/>
          <w:szCs w:val="22"/>
          <w:shd w:val="clear" w:color="auto" w:fill="FFFFFF"/>
        </w:rPr>
        <w:t xml:space="preserve"> </w:t>
      </w:r>
      <w:r w:rsidRPr="002A7BBA">
        <w:rPr>
          <w:iCs/>
          <w:color w:val="252525"/>
          <w:sz w:val="22"/>
          <w:szCs w:val="22"/>
          <w:shd w:val="clear" w:color="auto" w:fill="FFFFFF"/>
          <w:lang w:val="en"/>
        </w:rPr>
        <w:t>Citizenship</w:t>
      </w:r>
      <w:r w:rsidRPr="002A7BBA">
        <w:rPr>
          <w:iCs/>
          <w:color w:val="252525"/>
          <w:sz w:val="22"/>
          <w:szCs w:val="22"/>
          <w:shd w:val="clear" w:color="auto" w:fill="FFFFFF"/>
        </w:rPr>
        <w:t xml:space="preserve"> </w:t>
      </w:r>
      <w:r w:rsidRPr="002A7BBA">
        <w:rPr>
          <w:iCs/>
          <w:color w:val="252525"/>
          <w:sz w:val="22"/>
          <w:szCs w:val="22"/>
          <w:shd w:val="clear" w:color="auto" w:fill="FFFFFF"/>
          <w:lang w:val="en"/>
        </w:rPr>
        <w:t>and</w:t>
      </w:r>
      <w:r w:rsidRPr="002A7BBA">
        <w:rPr>
          <w:iCs/>
          <w:color w:val="252525"/>
          <w:sz w:val="22"/>
          <w:szCs w:val="22"/>
          <w:shd w:val="clear" w:color="auto" w:fill="FFFFFF"/>
        </w:rPr>
        <w:t xml:space="preserve"> </w:t>
      </w:r>
      <w:r w:rsidRPr="002A7BBA">
        <w:rPr>
          <w:iCs/>
          <w:color w:val="252525"/>
          <w:sz w:val="22"/>
          <w:szCs w:val="22"/>
          <w:shd w:val="clear" w:color="auto" w:fill="FFFFFF"/>
          <w:lang w:val="en"/>
        </w:rPr>
        <w:t>Immigration</w:t>
      </w:r>
      <w:r w:rsidRPr="002A7BBA">
        <w:rPr>
          <w:iCs/>
          <w:color w:val="252525"/>
          <w:sz w:val="22"/>
          <w:szCs w:val="22"/>
          <w:shd w:val="clear" w:color="auto" w:fill="FFFFFF"/>
        </w:rPr>
        <w:t xml:space="preserve"> </w:t>
      </w:r>
      <w:r w:rsidRPr="002A7BBA">
        <w:rPr>
          <w:iCs/>
          <w:color w:val="252525"/>
          <w:sz w:val="22"/>
          <w:szCs w:val="22"/>
          <w:shd w:val="clear" w:color="auto" w:fill="FFFFFF"/>
          <w:lang w:val="en"/>
        </w:rPr>
        <w:t>Services</w:t>
      </w:r>
      <w:r w:rsidRPr="002A7BBA">
        <w:rPr>
          <w:rFonts w:eastAsia="TimesNewRomanPSMT"/>
          <w:sz w:val="22"/>
          <w:szCs w:val="22"/>
        </w:rPr>
        <w:t xml:space="preserve"> (далее – </w:t>
      </w:r>
      <w:r w:rsidRPr="002A7BBA">
        <w:rPr>
          <w:rFonts w:eastAsia="TimesNewRomanPSMT"/>
          <w:sz w:val="22"/>
          <w:szCs w:val="22"/>
          <w:lang w:val="en-US"/>
        </w:rPr>
        <w:t>USCIS</w:t>
      </w:r>
      <w:r w:rsidRPr="002A7BBA">
        <w:rPr>
          <w:rFonts w:eastAsia="TimesNewRomanPSMT"/>
          <w:sz w:val="22"/>
          <w:szCs w:val="22"/>
        </w:rPr>
        <w:t>)) к указанной категории лиц относятся следующие лица:</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физическое лицо, родившееся на территории США;</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физическое лицо, родители которого являются гражданами США;</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lastRenderedPageBreak/>
        <w:t>физическое лицо – иностранец, который был натурализован как гражданин США;</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физическое лицо, родившееся на территории Пуэрто-Рико (может являться налоговым резидентом США);</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физическое лицо, родившееся на территории Гуам (может являться налоговым резидентом США);</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физическое лицо, родившееся на территории Американские Виргинские острова (может являться налоговым резидентом США);</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физическое лицо, родившееся на территории Американского Самоа или Содружества Северных Марианских островов (может являться налоговым резидентом США, но не будет являться гражданином США);</w:t>
      </w:r>
    </w:p>
    <w:p w:rsidR="00421CCC" w:rsidRPr="002A7BBA" w:rsidRDefault="00421CCC" w:rsidP="00421CCC">
      <w:pPr>
        <w:widowControl/>
        <w:numPr>
          <w:ilvl w:val="2"/>
          <w:numId w:val="7"/>
        </w:numPr>
        <w:jc w:val="both"/>
        <w:rPr>
          <w:rFonts w:eastAsia="TimesNewRomanPSMT"/>
          <w:sz w:val="22"/>
          <w:szCs w:val="22"/>
        </w:rPr>
      </w:pPr>
      <w:r w:rsidRPr="002A7BBA">
        <w:rPr>
          <w:rFonts w:eastAsia="TimesNewRomanPSMT"/>
          <w:sz w:val="22"/>
          <w:szCs w:val="22"/>
        </w:rPr>
        <w:t xml:space="preserve">клиент – физическое лицо не является гражданином США, но имеет предоставленное </w:t>
      </w:r>
      <w:r w:rsidRPr="002A7BBA">
        <w:rPr>
          <w:rFonts w:eastAsia="TimesNewRomanPSMT"/>
          <w:sz w:val="22"/>
          <w:szCs w:val="22"/>
          <w:lang w:val="en-US"/>
        </w:rPr>
        <w:t>USCIS</w:t>
      </w:r>
      <w:r w:rsidRPr="002A7BBA">
        <w:rPr>
          <w:rFonts w:eastAsia="TimesNewRomanPSMT"/>
          <w:sz w:val="22"/>
          <w:szCs w:val="22"/>
        </w:rPr>
        <w:t xml:space="preserve"> право на постоянное проживание и работу без ограничения на территории США (</w:t>
      </w:r>
      <w:r w:rsidRPr="002A7BBA">
        <w:rPr>
          <w:rFonts w:eastAsia="TimesNewRomanPSMT"/>
          <w:sz w:val="22"/>
          <w:szCs w:val="22"/>
          <w:lang w:val="en-US"/>
        </w:rPr>
        <w:t>Lawful</w:t>
      </w:r>
      <w:r w:rsidRPr="002A7BBA">
        <w:rPr>
          <w:rFonts w:eastAsia="TimesNewRomanPSMT"/>
          <w:sz w:val="22"/>
          <w:szCs w:val="22"/>
        </w:rPr>
        <w:t xml:space="preserve"> </w:t>
      </w:r>
      <w:r w:rsidRPr="002A7BBA">
        <w:rPr>
          <w:rFonts w:eastAsia="TimesNewRomanPSMT"/>
          <w:sz w:val="22"/>
          <w:szCs w:val="22"/>
          <w:lang w:val="en-US"/>
        </w:rPr>
        <w:t>Permanent</w:t>
      </w:r>
      <w:r w:rsidRPr="002A7BBA">
        <w:rPr>
          <w:rFonts w:eastAsia="TimesNewRomanPSMT"/>
          <w:sz w:val="22"/>
          <w:szCs w:val="22"/>
        </w:rPr>
        <w:t xml:space="preserve"> </w:t>
      </w:r>
      <w:r w:rsidRPr="002A7BBA">
        <w:rPr>
          <w:rFonts w:eastAsia="TimesNewRomanPSMT"/>
          <w:sz w:val="22"/>
          <w:szCs w:val="22"/>
          <w:lang w:val="en-US"/>
        </w:rPr>
        <w:t>Resident</w:t>
      </w:r>
      <w:r w:rsidRPr="002A7BBA">
        <w:rPr>
          <w:rFonts w:eastAsia="TimesNewRomanPSMT"/>
          <w:sz w:val="22"/>
          <w:szCs w:val="22"/>
        </w:rPr>
        <w:t xml:space="preserve"> (далее – </w:t>
      </w:r>
      <w:r w:rsidRPr="002A7BBA">
        <w:rPr>
          <w:rFonts w:eastAsia="TimesNewRomanPSMT"/>
          <w:sz w:val="22"/>
          <w:szCs w:val="22"/>
          <w:lang w:val="en-US"/>
        </w:rPr>
        <w:t>LPR</w:t>
      </w:r>
      <w:r w:rsidRPr="002A7BBA">
        <w:rPr>
          <w:rFonts w:eastAsia="TimesNewRomanPSMT"/>
          <w:sz w:val="22"/>
          <w:szCs w:val="22"/>
        </w:rPr>
        <w:t xml:space="preserve">)). Статус </w:t>
      </w:r>
      <w:r w:rsidRPr="002A7BBA">
        <w:rPr>
          <w:rFonts w:eastAsia="TimesNewRomanPSMT"/>
          <w:sz w:val="22"/>
          <w:szCs w:val="22"/>
          <w:lang w:val="en-US"/>
        </w:rPr>
        <w:t>LPR</w:t>
      </w:r>
      <w:r w:rsidRPr="002A7BBA">
        <w:rPr>
          <w:rFonts w:eastAsia="TimesNewRomanPSMT"/>
          <w:sz w:val="22"/>
          <w:szCs w:val="22"/>
        </w:rPr>
        <w:t xml:space="preserve"> подтверждается картой, оформленной по форме </w:t>
      </w:r>
      <w:r w:rsidRPr="002A7BBA">
        <w:rPr>
          <w:rFonts w:eastAsia="TimesNewRomanPSMT"/>
          <w:sz w:val="22"/>
          <w:szCs w:val="22"/>
          <w:lang w:val="en-US"/>
        </w:rPr>
        <w:t>USCIS</w:t>
      </w:r>
      <w:r w:rsidRPr="002A7BBA">
        <w:rPr>
          <w:rFonts w:eastAsia="TimesNewRomanPSMT"/>
          <w:sz w:val="22"/>
          <w:szCs w:val="22"/>
        </w:rPr>
        <w:t xml:space="preserve"> </w:t>
      </w:r>
      <w:r w:rsidRPr="002A7BBA">
        <w:rPr>
          <w:rFonts w:eastAsia="TimesNewRomanPSMT"/>
          <w:sz w:val="22"/>
          <w:szCs w:val="22"/>
          <w:lang w:val="en-US"/>
        </w:rPr>
        <w:t>I</w:t>
      </w:r>
      <w:r w:rsidRPr="002A7BBA">
        <w:rPr>
          <w:rFonts w:eastAsia="TimesNewRomanPSMT"/>
          <w:sz w:val="22"/>
          <w:szCs w:val="22"/>
        </w:rPr>
        <w:t>-551 – «</w:t>
      </w:r>
      <w:r w:rsidRPr="002A7BBA">
        <w:rPr>
          <w:rFonts w:eastAsia="TimesNewRomanPSMT"/>
          <w:sz w:val="22"/>
          <w:szCs w:val="22"/>
          <w:lang w:val="en-US"/>
        </w:rPr>
        <w:t>Green</w:t>
      </w:r>
      <w:r w:rsidRPr="002A7BBA">
        <w:rPr>
          <w:rFonts w:eastAsia="TimesNewRomanPSMT"/>
          <w:sz w:val="22"/>
          <w:szCs w:val="22"/>
        </w:rPr>
        <w:t xml:space="preserve"> </w:t>
      </w:r>
      <w:r w:rsidRPr="002A7BBA">
        <w:rPr>
          <w:rFonts w:eastAsia="TimesNewRomanPSMT"/>
          <w:sz w:val="22"/>
          <w:szCs w:val="22"/>
          <w:lang w:val="en-US"/>
        </w:rPr>
        <w:t>card</w:t>
      </w:r>
      <w:r w:rsidRPr="002A7BBA">
        <w:rPr>
          <w:rFonts w:eastAsia="TimesNewRomanPSMT"/>
          <w:sz w:val="22"/>
          <w:szCs w:val="22"/>
        </w:rPr>
        <w:t xml:space="preserve">», в том числе физические лица, проживающие за пределами территории США, в случае, если они добровольно не отказывались от статуса иммигранта или указанный статус административно не прекращен решением </w:t>
      </w:r>
      <w:r w:rsidRPr="002A7BBA">
        <w:rPr>
          <w:rFonts w:eastAsia="TimesNewRomanPSMT"/>
          <w:sz w:val="22"/>
          <w:szCs w:val="22"/>
          <w:lang w:val="en-US"/>
        </w:rPr>
        <w:t>USCIS</w:t>
      </w:r>
      <w:r w:rsidRPr="002A7BBA">
        <w:rPr>
          <w:rFonts w:eastAsia="TimesNewRomanPSMT"/>
          <w:sz w:val="22"/>
          <w:szCs w:val="22"/>
        </w:rPr>
        <w:t xml:space="preserve"> или решением Федерального суда США;</w:t>
      </w:r>
    </w:p>
    <w:p w:rsidR="00421CCC" w:rsidRPr="002A7BBA" w:rsidRDefault="00421CCC" w:rsidP="00421CCC">
      <w:pPr>
        <w:widowControl/>
        <w:numPr>
          <w:ilvl w:val="2"/>
          <w:numId w:val="7"/>
        </w:numPr>
        <w:jc w:val="both"/>
        <w:rPr>
          <w:rFonts w:eastAsia="TimesNewRomanPSMT"/>
          <w:sz w:val="22"/>
          <w:szCs w:val="22"/>
        </w:rPr>
      </w:pPr>
      <w:r w:rsidRPr="002A7BBA">
        <w:rPr>
          <w:rFonts w:eastAsia="TimesNewRomanPSMT"/>
          <w:sz w:val="22"/>
          <w:szCs w:val="22"/>
        </w:rPr>
        <w:t xml:space="preserve">клиент – физическое лицо не является гражданином США, но находилось на территории США не менее 31 дня в течение текущего календарного года и не менее 183 дней в течение 3 лет, включая текущий год и два непосредственно предшествующих года. При этом сумма дней, в течение которых физическое лицо присутствовало на территории США в текущем году, а также двух предшествующих годах, умножается на установленный коэффициент: коэффициент для текущего года равен 1 (т.е. учитываются все дни, проведенные в США в текущем году), коэффициент предшествующего года равен 1/3 и коэффициент позапрошлого года </w:t>
      </w:r>
      <w:r w:rsidRPr="002A7BBA">
        <w:rPr>
          <w:rStyle w:val="FontStyle30"/>
          <w:sz w:val="22"/>
          <w:szCs w:val="22"/>
        </w:rPr>
        <w:t>–</w:t>
      </w:r>
      <w:r w:rsidRPr="002A7BBA">
        <w:rPr>
          <w:rFonts w:eastAsia="TimesNewRomanPSMT"/>
          <w:sz w:val="22"/>
          <w:szCs w:val="22"/>
        </w:rPr>
        <w:t xml:space="preserve"> 1/6. От подсчета дней нахождения на территории США освобождаются следующие физические лица:</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лицо, временно присутствующее на территории США в качестве представителя иностранного правительства или лица, связанного с иностранным правительством, на основании виз категорий «</w:t>
      </w:r>
      <w:r w:rsidRPr="002A7BBA">
        <w:rPr>
          <w:rFonts w:eastAsia="TimesNewRomanPSMT"/>
          <w:sz w:val="22"/>
          <w:szCs w:val="22"/>
          <w:lang w:val="en-US"/>
        </w:rPr>
        <w:t>A</w:t>
      </w:r>
      <w:r w:rsidRPr="002A7BBA">
        <w:rPr>
          <w:rFonts w:eastAsia="TimesNewRomanPSMT"/>
          <w:sz w:val="22"/>
          <w:szCs w:val="22"/>
        </w:rPr>
        <w:t>» или «</w:t>
      </w:r>
      <w:r w:rsidRPr="002A7BBA">
        <w:rPr>
          <w:rFonts w:eastAsia="TimesNewRomanPSMT"/>
          <w:sz w:val="22"/>
          <w:szCs w:val="22"/>
          <w:lang w:val="en-US"/>
        </w:rPr>
        <w:t>G</w:t>
      </w:r>
      <w:r w:rsidRPr="002A7BBA">
        <w:rPr>
          <w:rFonts w:eastAsia="TimesNewRomanPSMT"/>
          <w:sz w:val="22"/>
          <w:szCs w:val="22"/>
        </w:rPr>
        <w:t>»;</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учитель или ученик, временно находящийся на территории США по визам категорий «</w:t>
      </w:r>
      <w:r w:rsidRPr="002A7BBA">
        <w:rPr>
          <w:rFonts w:eastAsia="TimesNewRomanPSMT"/>
          <w:sz w:val="22"/>
          <w:szCs w:val="22"/>
          <w:lang w:val="en-US"/>
        </w:rPr>
        <w:t>J</w:t>
      </w:r>
      <w:r w:rsidRPr="002A7BBA">
        <w:rPr>
          <w:rFonts w:eastAsia="TimesNewRomanPSMT"/>
          <w:sz w:val="22"/>
          <w:szCs w:val="22"/>
        </w:rPr>
        <w:t>» или «</w:t>
      </w:r>
      <w:r w:rsidRPr="002A7BBA">
        <w:rPr>
          <w:rFonts w:eastAsia="TimesNewRomanPSMT"/>
          <w:sz w:val="22"/>
          <w:szCs w:val="22"/>
          <w:lang w:val="en-US"/>
        </w:rPr>
        <w:t>Q</w:t>
      </w:r>
      <w:r w:rsidRPr="002A7BBA">
        <w:rPr>
          <w:rFonts w:eastAsia="TimesNewRomanPSMT"/>
          <w:sz w:val="22"/>
          <w:szCs w:val="22"/>
        </w:rPr>
        <w:t>»;</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lastRenderedPageBreak/>
        <w:t>студент, временно находящийся на территории США по визам категорий «</w:t>
      </w:r>
      <w:r w:rsidRPr="002A7BBA">
        <w:rPr>
          <w:rFonts w:eastAsia="TimesNewRomanPSMT"/>
          <w:sz w:val="22"/>
          <w:szCs w:val="22"/>
          <w:lang w:val="en-US"/>
        </w:rPr>
        <w:t>F</w:t>
      </w:r>
      <w:r w:rsidRPr="002A7BBA">
        <w:rPr>
          <w:rFonts w:eastAsia="TimesNewRomanPSMT"/>
          <w:sz w:val="22"/>
          <w:szCs w:val="22"/>
        </w:rPr>
        <w:t>», «</w:t>
      </w:r>
      <w:r w:rsidRPr="002A7BBA">
        <w:rPr>
          <w:rFonts w:eastAsia="TimesNewRomanPSMT"/>
          <w:sz w:val="22"/>
          <w:szCs w:val="22"/>
          <w:lang w:val="en-US"/>
        </w:rPr>
        <w:t>J</w:t>
      </w:r>
      <w:r w:rsidRPr="002A7BBA">
        <w:rPr>
          <w:rFonts w:eastAsia="TimesNewRomanPSMT"/>
          <w:sz w:val="22"/>
          <w:szCs w:val="22"/>
        </w:rPr>
        <w:t>», «</w:t>
      </w:r>
      <w:r w:rsidRPr="002A7BBA">
        <w:rPr>
          <w:rFonts w:eastAsia="TimesNewRomanPSMT"/>
          <w:sz w:val="22"/>
          <w:szCs w:val="22"/>
          <w:lang w:val="en-US"/>
        </w:rPr>
        <w:t>M</w:t>
      </w:r>
      <w:r w:rsidRPr="002A7BBA">
        <w:rPr>
          <w:rFonts w:eastAsia="TimesNewRomanPSMT"/>
          <w:sz w:val="22"/>
          <w:szCs w:val="22"/>
        </w:rPr>
        <w:t>» или «</w:t>
      </w:r>
      <w:r w:rsidRPr="002A7BBA">
        <w:rPr>
          <w:rFonts w:eastAsia="TimesNewRomanPSMT"/>
          <w:sz w:val="22"/>
          <w:szCs w:val="22"/>
          <w:lang w:val="en-US"/>
        </w:rPr>
        <w:t>Q</w:t>
      </w:r>
      <w:r w:rsidRPr="002A7BBA">
        <w:rPr>
          <w:rFonts w:eastAsia="TimesNewRomanPSMT"/>
          <w:sz w:val="22"/>
          <w:szCs w:val="22"/>
        </w:rPr>
        <w:t xml:space="preserve">»; </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профессиональный спортсмен, временно находящийся на территории США для участия в благотворительных спортивных мероприятиях;</w:t>
      </w:r>
    </w:p>
    <w:p w:rsidR="00421CCC" w:rsidRPr="002A7BBA" w:rsidRDefault="00421CCC" w:rsidP="00421CCC">
      <w:pPr>
        <w:widowControl/>
        <w:numPr>
          <w:ilvl w:val="1"/>
          <w:numId w:val="7"/>
        </w:numPr>
        <w:jc w:val="both"/>
        <w:rPr>
          <w:rStyle w:val="FontStyle30"/>
          <w:rFonts w:eastAsia="TimesNewRomanPSMT"/>
          <w:sz w:val="22"/>
          <w:szCs w:val="22"/>
        </w:rPr>
      </w:pPr>
      <w:r w:rsidRPr="002A7BBA">
        <w:rPr>
          <w:rFonts w:eastAsia="TimesNewRomanPSMT"/>
          <w:sz w:val="22"/>
          <w:szCs w:val="22"/>
        </w:rPr>
        <w:t xml:space="preserve">При проведении анализа клиентов </w:t>
      </w:r>
      <w:r w:rsidRPr="002A7BBA">
        <w:rPr>
          <w:rStyle w:val="FontStyle30"/>
          <w:sz w:val="22"/>
          <w:szCs w:val="22"/>
        </w:rPr>
        <w:t xml:space="preserve">– </w:t>
      </w:r>
      <w:r w:rsidRPr="002A7BBA">
        <w:rPr>
          <w:rFonts w:eastAsia="TimesNewRomanPSMT"/>
          <w:sz w:val="22"/>
          <w:szCs w:val="22"/>
        </w:rPr>
        <w:t xml:space="preserve">физических лиц на предмет их отнесения </w:t>
      </w:r>
      <w:r w:rsidRPr="002A7BBA">
        <w:rPr>
          <w:rStyle w:val="FontStyle29"/>
          <w:b w:val="0"/>
          <w:bCs/>
          <w:sz w:val="22"/>
          <w:szCs w:val="22"/>
        </w:rPr>
        <w:t xml:space="preserve">к </w:t>
      </w:r>
      <w:r w:rsidRPr="002A7BBA">
        <w:rPr>
          <w:rStyle w:val="FontStyle37"/>
          <w:sz w:val="22"/>
          <w:szCs w:val="22"/>
        </w:rPr>
        <w:t xml:space="preserve">категории клиента </w:t>
      </w:r>
      <w:r w:rsidRPr="002A7BBA">
        <w:rPr>
          <w:rStyle w:val="FontStyle30"/>
          <w:sz w:val="22"/>
          <w:szCs w:val="22"/>
        </w:rPr>
        <w:t xml:space="preserve">– </w:t>
      </w:r>
      <w:r w:rsidRPr="002A7BBA">
        <w:rPr>
          <w:rStyle w:val="FontStyle37"/>
          <w:sz w:val="22"/>
          <w:szCs w:val="22"/>
        </w:rPr>
        <w:t>н</w:t>
      </w:r>
      <w:r w:rsidRPr="002A7BBA">
        <w:rPr>
          <w:rStyle w:val="FontStyle30"/>
          <w:sz w:val="22"/>
          <w:szCs w:val="22"/>
        </w:rPr>
        <w:t xml:space="preserve">алогоплательщика США сотрудники </w:t>
      </w:r>
      <w:r>
        <w:rPr>
          <w:rStyle w:val="FontStyle30"/>
          <w:sz w:val="22"/>
          <w:szCs w:val="22"/>
        </w:rPr>
        <w:t>Компании</w:t>
      </w:r>
      <w:r w:rsidRPr="002A7BBA">
        <w:rPr>
          <w:rStyle w:val="FontStyle30"/>
          <w:sz w:val="22"/>
          <w:szCs w:val="22"/>
        </w:rPr>
        <w:t xml:space="preserve"> пользуются следующими признаками, прямо или косвенно указывающими на соответствие клиента – физического лица статусу налогового резидента США:</w:t>
      </w:r>
    </w:p>
    <w:p w:rsidR="00421CCC" w:rsidRDefault="00421CCC" w:rsidP="00421CCC">
      <w:pPr>
        <w:pStyle w:val="ae"/>
        <w:numPr>
          <w:ilvl w:val="2"/>
          <w:numId w:val="7"/>
        </w:numPr>
        <w:autoSpaceDE w:val="0"/>
        <w:autoSpaceDN w:val="0"/>
        <w:adjustRightInd w:val="0"/>
        <w:spacing w:after="0" w:line="240" w:lineRule="auto"/>
        <w:jc w:val="both"/>
        <w:rPr>
          <w:rFonts w:ascii="Times New Roman" w:hAnsi="Times New Roman"/>
        </w:rPr>
      </w:pPr>
      <w:r w:rsidRPr="00257E42">
        <w:rPr>
          <w:rFonts w:ascii="Times New Roman" w:eastAsia="TimesNewRomanPSMT" w:hAnsi="Times New Roman"/>
        </w:rPr>
        <w:t xml:space="preserve">клиент – </w:t>
      </w:r>
      <w:r w:rsidRPr="00B11977">
        <w:rPr>
          <w:rFonts w:ascii="Times New Roman" w:hAnsi="Times New Roman"/>
        </w:rPr>
        <w:t>физическое лицо является гражданином США (независимо от наличия гражданства иного государства</w:t>
      </w:r>
      <w:r>
        <w:rPr>
          <w:rFonts w:ascii="Times New Roman" w:hAnsi="Times New Roman"/>
        </w:rPr>
        <w:t>);</w:t>
      </w:r>
    </w:p>
    <w:p w:rsidR="00421CCC" w:rsidRDefault="00421CCC" w:rsidP="00421CCC">
      <w:pPr>
        <w:pStyle w:val="ae"/>
        <w:numPr>
          <w:ilvl w:val="2"/>
          <w:numId w:val="7"/>
        </w:numPr>
        <w:autoSpaceDE w:val="0"/>
        <w:autoSpaceDN w:val="0"/>
        <w:adjustRightInd w:val="0"/>
        <w:spacing w:after="0" w:line="240" w:lineRule="auto"/>
        <w:jc w:val="both"/>
        <w:rPr>
          <w:rFonts w:ascii="Times New Roman" w:hAnsi="Times New Roman"/>
        </w:rPr>
      </w:pPr>
      <w:r w:rsidRPr="00FF4C83">
        <w:rPr>
          <w:rFonts w:ascii="Times New Roman" w:eastAsia="TimesNewRomanPSMT" w:hAnsi="Times New Roman"/>
        </w:rPr>
        <w:t xml:space="preserve">клиент – </w:t>
      </w:r>
      <w:r w:rsidRPr="00FF4C83">
        <w:rPr>
          <w:rFonts w:ascii="Times New Roman" w:hAnsi="Times New Roman"/>
        </w:rPr>
        <w:t>физическое лицо имеет разрешение на постоянное проживание в США по форме I-</w:t>
      </w:r>
      <w:r>
        <w:rPr>
          <w:rFonts w:ascii="Times New Roman" w:hAnsi="Times New Roman"/>
        </w:rPr>
        <w:t>551 (Green Card);</w:t>
      </w:r>
    </w:p>
    <w:p w:rsidR="00421CCC" w:rsidRDefault="00421CCC" w:rsidP="00421CCC">
      <w:pPr>
        <w:pStyle w:val="ae"/>
        <w:numPr>
          <w:ilvl w:val="2"/>
          <w:numId w:val="7"/>
        </w:numPr>
        <w:autoSpaceDE w:val="0"/>
        <w:autoSpaceDN w:val="0"/>
        <w:adjustRightInd w:val="0"/>
        <w:spacing w:after="0" w:line="240" w:lineRule="auto"/>
        <w:jc w:val="both"/>
        <w:rPr>
          <w:rStyle w:val="FontStyle36"/>
          <w:sz w:val="22"/>
        </w:rPr>
      </w:pPr>
      <w:r w:rsidRPr="00FF4C83">
        <w:rPr>
          <w:rStyle w:val="FontStyle30"/>
          <w:sz w:val="22"/>
        </w:rPr>
        <w:t xml:space="preserve">место рождения клиента – </w:t>
      </w:r>
      <w:r w:rsidRPr="00FF4C83">
        <w:rPr>
          <w:rStyle w:val="FontStyle36"/>
          <w:sz w:val="22"/>
        </w:rPr>
        <w:t xml:space="preserve">США или территории, находящиеся под юрисдикцией или под контролем США: </w:t>
      </w:r>
      <w:r w:rsidRPr="00FF4C83">
        <w:rPr>
          <w:rFonts w:ascii="Times New Roman" w:eastAsia="TimesNewRomanPSMT" w:hAnsi="Times New Roman"/>
        </w:rPr>
        <w:t>Пуэрто-Рико, Гуам, Американские Виргинские острова, территории Американского Самоа и Содружество Северных Марианских островов</w:t>
      </w:r>
      <w:r w:rsidRPr="00FF4C83">
        <w:rPr>
          <w:rStyle w:val="FontStyle36"/>
          <w:sz w:val="22"/>
        </w:rPr>
        <w:t>;</w:t>
      </w:r>
    </w:p>
    <w:p w:rsidR="00421CCC" w:rsidRDefault="00421CCC" w:rsidP="00421CCC">
      <w:pPr>
        <w:pStyle w:val="ae"/>
        <w:numPr>
          <w:ilvl w:val="2"/>
          <w:numId w:val="7"/>
        </w:numPr>
        <w:autoSpaceDE w:val="0"/>
        <w:autoSpaceDN w:val="0"/>
        <w:adjustRightInd w:val="0"/>
        <w:spacing w:after="0" w:line="240" w:lineRule="auto"/>
        <w:jc w:val="both"/>
        <w:rPr>
          <w:rStyle w:val="FontStyle30"/>
          <w:sz w:val="22"/>
        </w:rPr>
      </w:pPr>
      <w:r w:rsidRPr="00FF4C83">
        <w:rPr>
          <w:rStyle w:val="FontStyle30"/>
          <w:sz w:val="22"/>
        </w:rPr>
        <w:t>в качестве адреса регистрации и/или почтового адреса указан адрес на территории США (в том числе почтовый ящик в США);</w:t>
      </w:r>
    </w:p>
    <w:p w:rsidR="00421CCC" w:rsidRDefault="00421CCC" w:rsidP="00421CCC">
      <w:pPr>
        <w:pStyle w:val="ae"/>
        <w:numPr>
          <w:ilvl w:val="2"/>
          <w:numId w:val="7"/>
        </w:numPr>
        <w:autoSpaceDE w:val="0"/>
        <w:autoSpaceDN w:val="0"/>
        <w:adjustRightInd w:val="0"/>
        <w:spacing w:after="0" w:line="240" w:lineRule="auto"/>
        <w:jc w:val="both"/>
        <w:rPr>
          <w:rStyle w:val="FontStyle30"/>
          <w:sz w:val="22"/>
        </w:rPr>
      </w:pPr>
      <w:r w:rsidRPr="00FF4C83">
        <w:rPr>
          <w:rStyle w:val="FontStyle30"/>
          <w:sz w:val="22"/>
        </w:rPr>
        <w:t>контактный номер телефона/факса клиента содержит код США (код страны +1);</w:t>
      </w:r>
    </w:p>
    <w:p w:rsidR="00421CCC" w:rsidRDefault="00421CCC" w:rsidP="00421CCC">
      <w:pPr>
        <w:pStyle w:val="ae"/>
        <w:numPr>
          <w:ilvl w:val="2"/>
          <w:numId w:val="7"/>
        </w:numPr>
        <w:autoSpaceDE w:val="0"/>
        <w:autoSpaceDN w:val="0"/>
        <w:adjustRightInd w:val="0"/>
        <w:spacing w:after="0" w:line="240" w:lineRule="auto"/>
        <w:jc w:val="both"/>
        <w:rPr>
          <w:rStyle w:val="FontStyle30"/>
          <w:sz w:val="22"/>
        </w:rPr>
      </w:pPr>
      <w:r w:rsidRPr="00FF4C83">
        <w:rPr>
          <w:rStyle w:val="FontStyle30"/>
          <w:sz w:val="22"/>
        </w:rPr>
        <w:t>наличие постоянно действующих инструкций клиента о переводе денежных средств на счета, открытые в финансовых институтах США;</w:t>
      </w:r>
    </w:p>
    <w:p w:rsidR="00421CCC" w:rsidRDefault="00421CCC" w:rsidP="00421CCC">
      <w:pPr>
        <w:pStyle w:val="ae"/>
        <w:numPr>
          <w:ilvl w:val="2"/>
          <w:numId w:val="7"/>
        </w:numPr>
        <w:autoSpaceDE w:val="0"/>
        <w:autoSpaceDN w:val="0"/>
        <w:adjustRightInd w:val="0"/>
        <w:spacing w:after="0" w:line="240" w:lineRule="auto"/>
        <w:jc w:val="both"/>
        <w:rPr>
          <w:rStyle w:val="FontStyle30"/>
          <w:sz w:val="22"/>
        </w:rPr>
      </w:pPr>
      <w:r w:rsidRPr="00FF4C83">
        <w:rPr>
          <w:rStyle w:val="FontStyle30"/>
          <w:sz w:val="22"/>
        </w:rPr>
        <w:t>право подписи документов, содержащих распоряжение клиента в отношении находящихся на счете (-ах) средств, предоставлено физическому лицу, проживающему на территории США;</w:t>
      </w:r>
    </w:p>
    <w:p w:rsidR="00421CCC" w:rsidRPr="00FF4C83" w:rsidRDefault="00421CCC" w:rsidP="00421CCC">
      <w:pPr>
        <w:pStyle w:val="ae"/>
        <w:numPr>
          <w:ilvl w:val="2"/>
          <w:numId w:val="7"/>
        </w:numPr>
        <w:autoSpaceDE w:val="0"/>
        <w:autoSpaceDN w:val="0"/>
        <w:adjustRightInd w:val="0"/>
        <w:spacing w:after="0" w:line="240" w:lineRule="auto"/>
        <w:jc w:val="both"/>
        <w:rPr>
          <w:rFonts w:ascii="Times New Roman" w:hAnsi="Times New Roman"/>
        </w:rPr>
      </w:pPr>
      <w:r w:rsidRPr="00FF4C83">
        <w:rPr>
          <w:rFonts w:ascii="Times New Roman" w:eastAsia="TimesNewRomanPSMT" w:hAnsi="Times New Roman"/>
        </w:rPr>
        <w:t>клиент</w:t>
      </w:r>
      <w:r w:rsidRPr="00025D5D">
        <w:rPr>
          <w:rFonts w:ascii="Times New Roman" w:hAnsi="Times New Roman"/>
        </w:rPr>
        <w:t xml:space="preserve"> - физическое лицо предоставил действующую доверенность на право действовать от его имени лицу с адресом в США (адрес постоянного проживания, почтовый адрес или адрес «до востребования»).</w:t>
      </w:r>
    </w:p>
    <w:p w:rsidR="00421CCC" w:rsidRPr="002A7BBA" w:rsidRDefault="00421CCC" w:rsidP="009959F5">
      <w:pPr>
        <w:widowControl/>
        <w:numPr>
          <w:ilvl w:val="1"/>
          <w:numId w:val="7"/>
        </w:numPr>
        <w:jc w:val="both"/>
        <w:rPr>
          <w:sz w:val="22"/>
          <w:szCs w:val="22"/>
        </w:rPr>
      </w:pPr>
      <w:r>
        <w:rPr>
          <w:rFonts w:eastAsia="TimesNewRomanPSMT"/>
          <w:sz w:val="22"/>
          <w:szCs w:val="22"/>
        </w:rPr>
        <w:t>Компания</w:t>
      </w:r>
      <w:r w:rsidRPr="002A7BBA">
        <w:rPr>
          <w:rFonts w:eastAsia="TimesNewRomanPSMT"/>
          <w:sz w:val="22"/>
          <w:szCs w:val="22"/>
        </w:rPr>
        <w:t xml:space="preserve"> устанавливает следующие критерии отнесения </w:t>
      </w:r>
      <w:r w:rsidRPr="002A7BBA">
        <w:rPr>
          <w:rFonts w:eastAsia="TimesNewRomanPSMT"/>
          <w:b/>
          <w:sz w:val="22"/>
          <w:szCs w:val="22"/>
        </w:rPr>
        <w:t xml:space="preserve">клиентов – юридических лиц, </w:t>
      </w:r>
      <w:r w:rsidRPr="002A7BBA">
        <w:rPr>
          <w:rFonts w:eastAsia="TimesNewRomanPSMT"/>
          <w:sz w:val="22"/>
          <w:szCs w:val="22"/>
        </w:rPr>
        <w:t>к категории клиента – иностранного налогоплательщика, на которых распространяется действие Закона США от 18.03.2010г. «О налогообложении иностранных счетов» (FATCA):</w:t>
      </w:r>
    </w:p>
    <w:p w:rsidR="00421CCC" w:rsidRPr="002A7BBA" w:rsidRDefault="00421CCC" w:rsidP="00421CCC">
      <w:pPr>
        <w:widowControl/>
        <w:numPr>
          <w:ilvl w:val="2"/>
          <w:numId w:val="7"/>
        </w:numPr>
        <w:jc w:val="both"/>
        <w:rPr>
          <w:sz w:val="22"/>
          <w:szCs w:val="22"/>
        </w:rPr>
      </w:pPr>
      <w:r w:rsidRPr="002A7BBA">
        <w:rPr>
          <w:rStyle w:val="FontStyle30"/>
          <w:sz w:val="22"/>
          <w:szCs w:val="22"/>
        </w:rPr>
        <w:t xml:space="preserve">юридическое лицо зарегистрировано/учреждено на территории США или на </w:t>
      </w:r>
      <w:r w:rsidRPr="002A7BBA">
        <w:rPr>
          <w:rStyle w:val="FontStyle36"/>
          <w:sz w:val="22"/>
          <w:szCs w:val="22"/>
        </w:rPr>
        <w:t xml:space="preserve">территориях, находящихся под юрисдикцией или под контролем США: </w:t>
      </w:r>
      <w:r w:rsidRPr="002A7BBA">
        <w:rPr>
          <w:rFonts w:eastAsia="TimesNewRomanPSMT"/>
          <w:sz w:val="22"/>
          <w:szCs w:val="22"/>
        </w:rPr>
        <w:t xml:space="preserve">Пуэрто-Рико, Гуам, Американские Виргинские острова, территории Американского </w:t>
      </w:r>
      <w:r w:rsidRPr="002A7BBA">
        <w:rPr>
          <w:rFonts w:eastAsia="TimesNewRomanPSMT"/>
          <w:sz w:val="22"/>
          <w:szCs w:val="22"/>
        </w:rPr>
        <w:lastRenderedPageBreak/>
        <w:t>Самоа и Содружество Северных Марианских островов,</w:t>
      </w:r>
      <w:r w:rsidRPr="002A7BBA">
        <w:rPr>
          <w:rStyle w:val="FontStyle30"/>
          <w:sz w:val="22"/>
          <w:szCs w:val="22"/>
        </w:rPr>
        <w:t xml:space="preserve"> за исключением юридических лиц, на которые не распространяется действие </w:t>
      </w:r>
      <w:r w:rsidRPr="002A7BBA">
        <w:rPr>
          <w:rFonts w:eastAsia="TimesNewRomanPSMT"/>
          <w:sz w:val="22"/>
          <w:szCs w:val="22"/>
        </w:rPr>
        <w:t>Закона США от 18.03.2010г. «О налогообложении иностранных счетов» (FATCA), список которых приведен в Приложении 1 к настоящему Документу;</w:t>
      </w:r>
    </w:p>
    <w:p w:rsidR="00421CCC" w:rsidRPr="002A7BBA" w:rsidRDefault="00421CCC" w:rsidP="00421CCC">
      <w:pPr>
        <w:widowControl/>
        <w:numPr>
          <w:ilvl w:val="2"/>
          <w:numId w:val="7"/>
        </w:numPr>
        <w:jc w:val="both"/>
        <w:rPr>
          <w:rStyle w:val="FontStyle36"/>
          <w:sz w:val="22"/>
          <w:szCs w:val="22"/>
        </w:rPr>
      </w:pPr>
      <w:r w:rsidRPr="002A7BBA">
        <w:rPr>
          <w:rStyle w:val="FontStyle30"/>
          <w:sz w:val="22"/>
          <w:szCs w:val="22"/>
        </w:rPr>
        <w:t xml:space="preserve">юридическое лицо зарегистрировано/учреждено за пределами территории США и </w:t>
      </w:r>
      <w:r w:rsidRPr="002A7BBA">
        <w:rPr>
          <w:rStyle w:val="FontStyle36"/>
          <w:sz w:val="22"/>
          <w:szCs w:val="22"/>
        </w:rPr>
        <w:t xml:space="preserve">территорий, находящихся под юрисдикцией или под контролем США </w:t>
      </w:r>
    </w:p>
    <w:p w:rsidR="00421CCC" w:rsidRPr="002A7BBA" w:rsidRDefault="00421CCC" w:rsidP="00421CCC">
      <w:pPr>
        <w:widowControl/>
        <w:ind w:left="720"/>
        <w:jc w:val="both"/>
        <w:rPr>
          <w:rFonts w:eastAsia="TimesNewRomanPSMT"/>
          <w:sz w:val="22"/>
          <w:szCs w:val="22"/>
        </w:rPr>
      </w:pPr>
      <w:r w:rsidRPr="002A7BBA">
        <w:rPr>
          <w:rFonts w:eastAsia="TimesNewRomanPSMT"/>
          <w:b/>
          <w:sz w:val="22"/>
          <w:szCs w:val="22"/>
          <w:u w:val="single"/>
        </w:rPr>
        <w:t>и</w:t>
      </w:r>
      <w:r w:rsidRPr="002A7BBA">
        <w:rPr>
          <w:rFonts w:eastAsia="TimesNewRomanPSMT"/>
          <w:sz w:val="22"/>
          <w:szCs w:val="22"/>
        </w:rPr>
        <w:t xml:space="preserve"> при этом юридическое лицо не является финансовым институтом для целей FATCA</w:t>
      </w:r>
    </w:p>
    <w:p w:rsidR="00421CCC" w:rsidRPr="002A7BBA" w:rsidRDefault="00421CCC" w:rsidP="00421CCC">
      <w:pPr>
        <w:widowControl/>
        <w:ind w:left="720"/>
        <w:jc w:val="both"/>
        <w:rPr>
          <w:rFonts w:eastAsia="TimesNewRomanPSMT"/>
          <w:sz w:val="22"/>
          <w:szCs w:val="22"/>
        </w:rPr>
      </w:pPr>
      <w:r w:rsidRPr="002A7BBA">
        <w:rPr>
          <w:rFonts w:eastAsia="TimesNewRomanPSMT"/>
          <w:b/>
          <w:sz w:val="22"/>
          <w:szCs w:val="22"/>
          <w:u w:val="single"/>
        </w:rPr>
        <w:t>и</w:t>
      </w:r>
      <w:r w:rsidRPr="002A7BBA">
        <w:rPr>
          <w:rFonts w:eastAsia="TimesNewRomanPSMT"/>
          <w:sz w:val="22"/>
          <w:szCs w:val="22"/>
        </w:rPr>
        <w:t xml:space="preserve"> в состав контролирующих лиц (бенефициаров)</w:t>
      </w:r>
      <w:r w:rsidRPr="002A7BBA">
        <w:rPr>
          <w:rStyle w:val="af4"/>
          <w:rFonts w:eastAsia="TimesNewRomanPSMT"/>
          <w:sz w:val="22"/>
          <w:szCs w:val="22"/>
        </w:rPr>
        <w:footnoteReference w:id="1"/>
      </w:r>
      <w:r w:rsidRPr="002A7BBA">
        <w:rPr>
          <w:rFonts w:eastAsia="TimesNewRomanPSMT"/>
          <w:sz w:val="22"/>
          <w:szCs w:val="22"/>
        </w:rPr>
        <w:t xml:space="preserve"> юридического лица, которым прямо или косвенно принадлежит более 10% доли в юридическом лице, входит одно из следующих лиц: </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физическое лицо, относящееся к категории клиента – налогоплательщика США, в соответствии с критериями, указанными в п.п. 3.1.1. –  3.1.3. настоящего Документа;</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юридическое лицо, которое зарегистрировано/учреждено на территории США или на территориях, находящихся под</w:t>
      </w:r>
      <w:r w:rsidRPr="002A7BBA">
        <w:rPr>
          <w:rFonts w:eastAsia="TimesNewRomanPSMT"/>
        </w:rPr>
        <w:t xml:space="preserve"> </w:t>
      </w:r>
      <w:r w:rsidRPr="002A7BBA">
        <w:rPr>
          <w:rFonts w:eastAsia="TimesNewRomanPSMT"/>
          <w:sz w:val="22"/>
          <w:szCs w:val="22"/>
        </w:rPr>
        <w:t>юрисдикцией или под контролем США</w:t>
      </w:r>
      <w:r w:rsidRPr="002A7BBA">
        <w:rPr>
          <w:rFonts w:eastAsia="TimesNewRomanPSMT"/>
        </w:rPr>
        <w:t>,</w:t>
      </w:r>
      <w:r w:rsidRPr="002A7BBA">
        <w:rPr>
          <w:rFonts w:eastAsia="TimesNewRomanPSMT"/>
          <w:sz w:val="22"/>
          <w:szCs w:val="22"/>
        </w:rPr>
        <w:t xml:space="preserve"> за исключением юридических лиц, на которые не распространяется действие</w:t>
      </w:r>
      <w:r w:rsidRPr="002A7BBA">
        <w:rPr>
          <w:rFonts w:eastAsia="TimesNewRomanPSMT"/>
        </w:rPr>
        <w:t xml:space="preserve"> </w:t>
      </w:r>
      <w:r w:rsidRPr="002A7BBA">
        <w:rPr>
          <w:rFonts w:eastAsia="TimesNewRomanPSMT"/>
          <w:sz w:val="22"/>
          <w:szCs w:val="22"/>
        </w:rPr>
        <w:t>Закона США от 18.03.2010г. «О налогообложении иностранных счетов» (FATCA), список которых приведен в Приложении 1 к настоящему Документу</w:t>
      </w:r>
      <w:r w:rsidRPr="002A7BBA">
        <w:rPr>
          <w:sz w:val="22"/>
          <w:szCs w:val="22"/>
        </w:rPr>
        <w:t>;</w:t>
      </w:r>
    </w:p>
    <w:p w:rsidR="00421CCC" w:rsidRPr="002A7BBA" w:rsidRDefault="00421CCC" w:rsidP="00421CCC">
      <w:pPr>
        <w:widowControl/>
        <w:ind w:left="720"/>
        <w:jc w:val="both"/>
        <w:rPr>
          <w:rFonts w:eastAsia="TimesNewRomanPSMT"/>
          <w:sz w:val="22"/>
          <w:szCs w:val="22"/>
        </w:rPr>
      </w:pPr>
      <w:r w:rsidRPr="002A7BBA">
        <w:rPr>
          <w:rFonts w:eastAsia="TimesNewRomanPSMT"/>
          <w:b/>
          <w:sz w:val="22"/>
          <w:szCs w:val="22"/>
          <w:u w:val="single"/>
        </w:rPr>
        <w:t>и</w:t>
      </w:r>
      <w:r w:rsidRPr="002A7BBA">
        <w:rPr>
          <w:rFonts w:eastAsia="TimesNewRomanPSMT"/>
          <w:sz w:val="22"/>
          <w:szCs w:val="22"/>
        </w:rPr>
        <w:t xml:space="preserve"> более 50% (по отдельности или в совокупности) совокупного дохода такого юридического лица за предшествующий год составляют «пассивные доходы»</w:t>
      </w:r>
      <w:r w:rsidRPr="002A7BBA">
        <w:rPr>
          <w:rStyle w:val="af4"/>
          <w:rFonts w:eastAsia="TimesNewRomanPSMT"/>
          <w:sz w:val="22"/>
          <w:szCs w:val="22"/>
        </w:rPr>
        <w:footnoteReference w:id="2"/>
      </w:r>
      <w:r w:rsidRPr="002A7BBA">
        <w:rPr>
          <w:rFonts w:eastAsia="TimesNewRomanPSMT"/>
          <w:sz w:val="22"/>
          <w:szCs w:val="22"/>
        </w:rPr>
        <w:t xml:space="preserve">, </w:t>
      </w:r>
    </w:p>
    <w:p w:rsidR="00421CCC" w:rsidRPr="002A7BBA" w:rsidRDefault="00421CCC" w:rsidP="00421CCC">
      <w:pPr>
        <w:widowControl/>
        <w:ind w:left="720"/>
        <w:jc w:val="both"/>
        <w:rPr>
          <w:sz w:val="22"/>
          <w:szCs w:val="22"/>
        </w:rPr>
      </w:pPr>
      <w:r w:rsidRPr="002A7BBA">
        <w:rPr>
          <w:rFonts w:eastAsia="TimesNewRomanPSMT"/>
          <w:b/>
          <w:sz w:val="22"/>
          <w:szCs w:val="22"/>
          <w:u w:val="single"/>
        </w:rPr>
        <w:lastRenderedPageBreak/>
        <w:t>и</w:t>
      </w:r>
      <w:r w:rsidRPr="002A7BBA">
        <w:rPr>
          <w:rFonts w:eastAsia="TimesNewRomanPSMT"/>
          <w:sz w:val="22"/>
          <w:szCs w:val="22"/>
        </w:rPr>
        <w:t xml:space="preserve"> более 50% (по отдельности или в совокупности) от средневзвешенной величины активов юридического лица (на конец квартала), составляют активы, приносящие такой доход.</w:t>
      </w:r>
    </w:p>
    <w:p w:rsidR="00421CCC" w:rsidRPr="002A7BBA" w:rsidRDefault="00421CCC" w:rsidP="00421CCC">
      <w:pPr>
        <w:widowControl/>
        <w:numPr>
          <w:ilvl w:val="1"/>
          <w:numId w:val="7"/>
        </w:numPr>
        <w:jc w:val="both"/>
        <w:rPr>
          <w:rStyle w:val="FontStyle30"/>
          <w:rFonts w:eastAsia="TimesNewRomanPSMT"/>
          <w:sz w:val="22"/>
          <w:szCs w:val="22"/>
        </w:rPr>
      </w:pPr>
      <w:r w:rsidRPr="002A7BBA">
        <w:rPr>
          <w:rFonts w:eastAsia="TimesNewRomanPSMT"/>
          <w:sz w:val="22"/>
          <w:szCs w:val="22"/>
        </w:rPr>
        <w:t xml:space="preserve">При проведении анализа клиентов – юридических лиц на предмет их отнесения </w:t>
      </w:r>
      <w:r w:rsidRPr="002A7BBA">
        <w:rPr>
          <w:rStyle w:val="FontStyle29"/>
          <w:b w:val="0"/>
          <w:bCs/>
          <w:sz w:val="22"/>
          <w:szCs w:val="22"/>
        </w:rPr>
        <w:t xml:space="preserve">к </w:t>
      </w:r>
      <w:r w:rsidRPr="002A7BBA">
        <w:rPr>
          <w:rStyle w:val="FontStyle37"/>
          <w:sz w:val="22"/>
          <w:szCs w:val="22"/>
        </w:rPr>
        <w:t>категории клиента – н</w:t>
      </w:r>
      <w:r w:rsidRPr="002A7BBA">
        <w:rPr>
          <w:rStyle w:val="FontStyle30"/>
          <w:sz w:val="22"/>
          <w:szCs w:val="22"/>
        </w:rPr>
        <w:t xml:space="preserve">алогоплательщика США сотрудники </w:t>
      </w:r>
      <w:r>
        <w:rPr>
          <w:rStyle w:val="FontStyle30"/>
          <w:sz w:val="22"/>
          <w:szCs w:val="22"/>
        </w:rPr>
        <w:t>Компании</w:t>
      </w:r>
      <w:r w:rsidRPr="002A7BBA">
        <w:rPr>
          <w:rStyle w:val="FontStyle30"/>
          <w:sz w:val="22"/>
          <w:szCs w:val="22"/>
        </w:rPr>
        <w:t xml:space="preserve"> пользуются следующими признаками, прямо или косвенно указывающими на соответствие клиента – юридического лица статусу налогового резидента США:</w:t>
      </w:r>
    </w:p>
    <w:p w:rsidR="00421CCC" w:rsidRPr="002A7BBA" w:rsidRDefault="00421CCC" w:rsidP="00421CCC">
      <w:pPr>
        <w:widowControl/>
        <w:numPr>
          <w:ilvl w:val="2"/>
          <w:numId w:val="7"/>
        </w:numPr>
        <w:jc w:val="both"/>
        <w:rPr>
          <w:rFonts w:eastAsia="TimesNewRomanPSMT"/>
          <w:sz w:val="22"/>
          <w:szCs w:val="22"/>
        </w:rPr>
      </w:pPr>
      <w:r w:rsidRPr="002A7BBA">
        <w:rPr>
          <w:sz w:val="22"/>
          <w:szCs w:val="22"/>
        </w:rPr>
        <w:t>регистрация/учреждение на территории США;</w:t>
      </w:r>
    </w:p>
    <w:p w:rsidR="00421CCC" w:rsidRPr="002A7BBA" w:rsidRDefault="00421CCC" w:rsidP="00421CCC">
      <w:pPr>
        <w:widowControl/>
        <w:numPr>
          <w:ilvl w:val="2"/>
          <w:numId w:val="7"/>
        </w:numPr>
        <w:jc w:val="both"/>
        <w:rPr>
          <w:rFonts w:eastAsia="TimesNewRomanPSMT"/>
          <w:sz w:val="22"/>
          <w:szCs w:val="22"/>
        </w:rPr>
      </w:pPr>
      <w:r w:rsidRPr="002A7BBA">
        <w:rPr>
          <w:sz w:val="22"/>
          <w:szCs w:val="22"/>
        </w:rPr>
        <w:t>адрес местонахождения и/или почтовый адрес клиента на территории США;</w:t>
      </w:r>
    </w:p>
    <w:p w:rsidR="00421CCC" w:rsidRPr="002A7BBA" w:rsidRDefault="00421CCC" w:rsidP="00421CCC">
      <w:pPr>
        <w:widowControl/>
        <w:numPr>
          <w:ilvl w:val="2"/>
          <w:numId w:val="7"/>
        </w:numPr>
        <w:jc w:val="both"/>
        <w:rPr>
          <w:rStyle w:val="FontStyle30"/>
          <w:rFonts w:eastAsia="TimesNewRomanPSMT"/>
          <w:sz w:val="22"/>
          <w:szCs w:val="22"/>
        </w:rPr>
      </w:pPr>
      <w:r w:rsidRPr="002A7BBA">
        <w:rPr>
          <w:rStyle w:val="FontStyle30"/>
          <w:sz w:val="22"/>
          <w:szCs w:val="22"/>
        </w:rPr>
        <w:t>контактный номер телефона/факса клиента содержит код США (код страны +1);</w:t>
      </w:r>
    </w:p>
    <w:p w:rsidR="00421CCC" w:rsidRPr="002A7BBA" w:rsidRDefault="00421CCC" w:rsidP="00421CCC">
      <w:pPr>
        <w:widowControl/>
        <w:numPr>
          <w:ilvl w:val="2"/>
          <w:numId w:val="7"/>
        </w:numPr>
        <w:jc w:val="both"/>
        <w:rPr>
          <w:rFonts w:eastAsia="TimesNewRomanPSMT"/>
          <w:sz w:val="22"/>
          <w:szCs w:val="22"/>
        </w:rPr>
      </w:pPr>
      <w:r w:rsidRPr="002A7BBA">
        <w:rPr>
          <w:sz w:val="22"/>
          <w:szCs w:val="22"/>
        </w:rPr>
        <w:t>право подписи предоставлено физическому лицу, проживающему на территории США;</w:t>
      </w:r>
    </w:p>
    <w:p w:rsidR="00421CCC" w:rsidRPr="002A7BBA" w:rsidRDefault="00421CCC" w:rsidP="00421CCC">
      <w:pPr>
        <w:widowControl/>
        <w:numPr>
          <w:ilvl w:val="2"/>
          <w:numId w:val="7"/>
        </w:numPr>
        <w:jc w:val="both"/>
        <w:rPr>
          <w:rFonts w:eastAsia="TimesNewRomanPSMT"/>
          <w:sz w:val="22"/>
          <w:szCs w:val="22"/>
        </w:rPr>
      </w:pPr>
      <w:r w:rsidRPr="002A7BBA">
        <w:rPr>
          <w:sz w:val="22"/>
          <w:szCs w:val="22"/>
        </w:rPr>
        <w:t>учредитель с долей собственности от 10% и/или бенефициарный владелец, удовлетворяющий хотя бы одному из индикаторов налогового резидента США – физического лица, указанных в п.п. 3.2.1. – 3.2.7.</w:t>
      </w:r>
    </w:p>
    <w:p w:rsidR="00421CCC" w:rsidRPr="002A7BBA" w:rsidRDefault="00421CCC" w:rsidP="00421CCC">
      <w:pPr>
        <w:widowControl/>
        <w:numPr>
          <w:ilvl w:val="1"/>
          <w:numId w:val="7"/>
        </w:numPr>
        <w:jc w:val="both"/>
        <w:rPr>
          <w:rFonts w:eastAsia="TimesNewRomanPSMT"/>
          <w:sz w:val="22"/>
          <w:szCs w:val="22"/>
        </w:rPr>
      </w:pPr>
      <w:r w:rsidRPr="002A7BBA">
        <w:rPr>
          <w:sz w:val="22"/>
          <w:szCs w:val="22"/>
        </w:rPr>
        <w:t xml:space="preserve">Данные критерии могут не являться для </w:t>
      </w:r>
      <w:r>
        <w:rPr>
          <w:sz w:val="22"/>
          <w:szCs w:val="22"/>
        </w:rPr>
        <w:t>Компании</w:t>
      </w:r>
      <w:r w:rsidRPr="002A7BBA">
        <w:rPr>
          <w:sz w:val="22"/>
          <w:szCs w:val="22"/>
        </w:rPr>
        <w:t xml:space="preserve"> исчерпывающими. Наличие других критериев выявляется исходя из анализа полученных сведений от клиента.</w:t>
      </w:r>
    </w:p>
    <w:p w:rsidR="00421CCC" w:rsidRPr="002A7BBA" w:rsidRDefault="00421CCC" w:rsidP="00421CCC">
      <w:pPr>
        <w:widowControl/>
        <w:numPr>
          <w:ilvl w:val="1"/>
          <w:numId w:val="7"/>
        </w:numPr>
        <w:jc w:val="both"/>
        <w:rPr>
          <w:rFonts w:eastAsia="TimesNewRomanPSMT"/>
          <w:sz w:val="22"/>
          <w:szCs w:val="22"/>
        </w:rPr>
      </w:pPr>
      <w:r w:rsidRPr="002A7BBA">
        <w:rPr>
          <w:rFonts w:eastAsia="TimesNewRomanPSMT"/>
          <w:color w:val="000000"/>
          <w:sz w:val="22"/>
          <w:szCs w:val="22"/>
        </w:rPr>
        <w:t xml:space="preserve">В отношении клиентов, являющихся </w:t>
      </w:r>
      <w:r w:rsidRPr="002A7BBA">
        <w:rPr>
          <w:rFonts w:eastAsia="TimesNewRomanPSMT"/>
          <w:b/>
          <w:bCs/>
          <w:color w:val="000000"/>
          <w:sz w:val="22"/>
          <w:szCs w:val="22"/>
        </w:rPr>
        <w:t>финансовыми институтами</w:t>
      </w:r>
      <w:r w:rsidRPr="002A7BBA">
        <w:rPr>
          <w:rStyle w:val="af4"/>
          <w:rFonts w:eastAsia="TimesNewRomanPSMT"/>
          <w:b/>
          <w:bCs/>
          <w:color w:val="000000"/>
          <w:sz w:val="22"/>
          <w:szCs w:val="22"/>
        </w:rPr>
        <w:footnoteReference w:id="3"/>
      </w:r>
      <w:r w:rsidRPr="002A7BBA">
        <w:rPr>
          <w:rFonts w:eastAsia="TimesNewRomanPSMT"/>
          <w:b/>
          <w:bCs/>
          <w:color w:val="000000"/>
          <w:sz w:val="22"/>
          <w:szCs w:val="22"/>
        </w:rPr>
        <w:t xml:space="preserve"> </w:t>
      </w:r>
      <w:r w:rsidRPr="002A7BBA">
        <w:rPr>
          <w:rFonts w:eastAsia="TimesNewRomanPSMT"/>
          <w:color w:val="000000"/>
          <w:sz w:val="22"/>
          <w:szCs w:val="22"/>
        </w:rPr>
        <w:t xml:space="preserve">в целях FATCA, </w:t>
      </w:r>
      <w:r>
        <w:rPr>
          <w:rFonts w:eastAsia="TimesNewRomanPSMT"/>
          <w:color w:val="000000"/>
          <w:sz w:val="22"/>
          <w:szCs w:val="22"/>
        </w:rPr>
        <w:t>Компании</w:t>
      </w:r>
      <w:r w:rsidRPr="002A7BBA">
        <w:rPr>
          <w:rFonts w:eastAsia="TimesNewRomanPSMT"/>
          <w:color w:val="000000"/>
          <w:sz w:val="22"/>
          <w:szCs w:val="22"/>
        </w:rPr>
        <w:t xml:space="preserve"> необходимо установить номер </w:t>
      </w:r>
      <w:r w:rsidRPr="002A7BBA">
        <w:rPr>
          <w:rFonts w:eastAsia="TimesNewRomanPSMT"/>
          <w:color w:val="000000"/>
          <w:sz w:val="22"/>
          <w:szCs w:val="22"/>
        </w:rPr>
        <w:lastRenderedPageBreak/>
        <w:t>регистрации в Налоговом управлении США (</w:t>
      </w:r>
      <w:r w:rsidRPr="002A7BBA">
        <w:rPr>
          <w:rFonts w:eastAsia="TimesNewRomanPSMT"/>
          <w:color w:val="000000"/>
          <w:sz w:val="22"/>
          <w:szCs w:val="22"/>
          <w:lang w:val="en-US"/>
        </w:rPr>
        <w:t>the</w:t>
      </w:r>
      <w:r w:rsidRPr="002A7BBA">
        <w:rPr>
          <w:rFonts w:eastAsia="TimesNewRomanPSMT"/>
          <w:color w:val="000000"/>
          <w:sz w:val="22"/>
          <w:szCs w:val="22"/>
        </w:rPr>
        <w:t xml:space="preserve"> </w:t>
      </w:r>
      <w:r w:rsidRPr="002A7BBA">
        <w:rPr>
          <w:rFonts w:eastAsia="TimesNewRomanPSMT"/>
          <w:color w:val="000000"/>
          <w:sz w:val="22"/>
          <w:szCs w:val="22"/>
          <w:lang w:val="en-US"/>
        </w:rPr>
        <w:t>Global</w:t>
      </w:r>
      <w:r w:rsidRPr="002A7BBA">
        <w:rPr>
          <w:rFonts w:eastAsia="TimesNewRomanPSMT"/>
          <w:color w:val="000000"/>
          <w:sz w:val="22"/>
          <w:szCs w:val="22"/>
        </w:rPr>
        <w:t xml:space="preserve"> </w:t>
      </w:r>
      <w:r w:rsidRPr="002A7BBA">
        <w:rPr>
          <w:rFonts w:eastAsia="TimesNewRomanPSMT"/>
          <w:color w:val="000000"/>
          <w:sz w:val="22"/>
          <w:szCs w:val="22"/>
          <w:lang w:val="en-US"/>
        </w:rPr>
        <w:t>Intermediary</w:t>
      </w:r>
      <w:r w:rsidRPr="002A7BBA">
        <w:rPr>
          <w:rFonts w:eastAsia="TimesNewRomanPSMT"/>
          <w:color w:val="000000"/>
          <w:sz w:val="22"/>
          <w:szCs w:val="22"/>
        </w:rPr>
        <w:t xml:space="preserve"> </w:t>
      </w:r>
      <w:r w:rsidRPr="002A7BBA">
        <w:rPr>
          <w:rFonts w:eastAsia="TimesNewRomanPSMT"/>
          <w:color w:val="000000"/>
          <w:sz w:val="22"/>
          <w:szCs w:val="22"/>
          <w:lang w:val="en-US"/>
        </w:rPr>
        <w:t>Identification</w:t>
      </w:r>
      <w:r w:rsidRPr="002A7BBA">
        <w:rPr>
          <w:rFonts w:eastAsia="TimesNewRomanPSMT"/>
          <w:color w:val="000000"/>
          <w:sz w:val="22"/>
          <w:szCs w:val="22"/>
        </w:rPr>
        <w:t xml:space="preserve"> </w:t>
      </w:r>
      <w:r w:rsidRPr="002A7BBA">
        <w:rPr>
          <w:rFonts w:eastAsia="TimesNewRomanPSMT"/>
          <w:color w:val="000000"/>
          <w:sz w:val="22"/>
          <w:szCs w:val="22"/>
          <w:lang w:val="en-US"/>
        </w:rPr>
        <w:t>Number</w:t>
      </w:r>
      <w:r w:rsidRPr="002A7BBA">
        <w:rPr>
          <w:rFonts w:eastAsia="TimesNewRomanPSMT"/>
          <w:color w:val="111111"/>
          <w:sz w:val="22"/>
          <w:szCs w:val="22"/>
        </w:rPr>
        <w:t xml:space="preserve">, далее  –  </w:t>
      </w:r>
      <w:r w:rsidRPr="002A7BBA">
        <w:rPr>
          <w:rFonts w:eastAsia="TimesNewRomanPSMT"/>
          <w:color w:val="111111"/>
          <w:sz w:val="22"/>
          <w:szCs w:val="22"/>
          <w:lang w:val="en-US"/>
        </w:rPr>
        <w:t>GIIN</w:t>
      </w:r>
      <w:r w:rsidRPr="002A7BBA">
        <w:rPr>
          <w:rFonts w:eastAsia="TimesNewRomanPSMT"/>
          <w:color w:val="111111"/>
          <w:sz w:val="22"/>
          <w:szCs w:val="22"/>
        </w:rPr>
        <w:t xml:space="preserve">) или </w:t>
      </w:r>
      <w:r w:rsidRPr="002A7BBA">
        <w:rPr>
          <w:sz w:val="22"/>
          <w:szCs w:val="22"/>
        </w:rPr>
        <w:t xml:space="preserve">выявить причину отсутствия </w:t>
      </w:r>
      <w:r w:rsidRPr="002A7BBA">
        <w:rPr>
          <w:rFonts w:eastAsia="TimesNewRomanPSMT"/>
          <w:color w:val="111111"/>
          <w:sz w:val="22"/>
          <w:szCs w:val="22"/>
          <w:lang w:val="en-US"/>
        </w:rPr>
        <w:t>GIIN</w:t>
      </w:r>
      <w:r w:rsidRPr="002A7BBA">
        <w:rPr>
          <w:rFonts w:eastAsia="TimesNewRomanPSMT"/>
          <w:color w:val="111111"/>
          <w:sz w:val="22"/>
          <w:szCs w:val="22"/>
        </w:rPr>
        <w:t>.</w:t>
      </w:r>
    </w:p>
    <w:p w:rsidR="00421CCC" w:rsidRPr="002A7BBA" w:rsidRDefault="00421CCC" w:rsidP="00421CCC">
      <w:pPr>
        <w:widowControl/>
        <w:numPr>
          <w:ilvl w:val="1"/>
          <w:numId w:val="7"/>
        </w:numPr>
        <w:jc w:val="both"/>
        <w:rPr>
          <w:rFonts w:eastAsia="TimesNewRomanPSMT"/>
          <w:sz w:val="22"/>
          <w:szCs w:val="22"/>
        </w:rPr>
      </w:pPr>
      <w:r w:rsidRPr="002A7BBA">
        <w:rPr>
          <w:rFonts w:eastAsia="TimesNewRomanPSMT"/>
          <w:sz w:val="22"/>
          <w:szCs w:val="22"/>
        </w:rPr>
        <w:t xml:space="preserve">Окончательное решение об отнесении клиента к категории клиента – налогоплательщика США принимается </w:t>
      </w:r>
      <w:r>
        <w:rPr>
          <w:rFonts w:eastAsia="TimesNewRomanPSMT"/>
          <w:sz w:val="22"/>
          <w:szCs w:val="22"/>
        </w:rPr>
        <w:t>Компанией</w:t>
      </w:r>
      <w:r w:rsidRPr="002A7BBA">
        <w:rPr>
          <w:rFonts w:eastAsia="TimesNewRomanPSMT"/>
          <w:sz w:val="22"/>
          <w:szCs w:val="22"/>
        </w:rPr>
        <w:t xml:space="preserve"> на основании анализа всех документов и информации, полученных от клиента.</w:t>
      </w:r>
    </w:p>
    <w:p w:rsidR="00421CCC" w:rsidRPr="002A7BBA" w:rsidRDefault="00421CCC" w:rsidP="00421CCC">
      <w:pPr>
        <w:pStyle w:val="1"/>
        <w:numPr>
          <w:ilvl w:val="0"/>
          <w:numId w:val="7"/>
        </w:numPr>
        <w:rPr>
          <w:rStyle w:val="FontStyle30"/>
          <w:sz w:val="32"/>
        </w:rPr>
      </w:pPr>
      <w:bookmarkStart w:id="9" w:name="_Toc67586426"/>
      <w:r w:rsidRPr="002A7BBA">
        <w:rPr>
          <w:rStyle w:val="FontStyle30"/>
          <w:sz w:val="32"/>
        </w:rPr>
        <w:t xml:space="preserve">Способы передачи </w:t>
      </w:r>
      <w:r w:rsidRPr="002A7BBA">
        <w:rPr>
          <w:rStyle w:val="FontStyle29"/>
          <w:b/>
          <w:spacing w:val="0"/>
          <w:sz w:val="32"/>
        </w:rPr>
        <w:t xml:space="preserve">запроса и </w:t>
      </w:r>
      <w:r w:rsidRPr="002A7BBA">
        <w:rPr>
          <w:rStyle w:val="FontStyle30"/>
          <w:sz w:val="32"/>
        </w:rPr>
        <w:t xml:space="preserve">получения </w:t>
      </w:r>
      <w:r w:rsidRPr="002A7BBA">
        <w:rPr>
          <w:rStyle w:val="FontStyle29"/>
          <w:b/>
          <w:spacing w:val="0"/>
          <w:sz w:val="32"/>
        </w:rPr>
        <w:t xml:space="preserve">информации от </w:t>
      </w:r>
      <w:r w:rsidRPr="002A7BBA">
        <w:rPr>
          <w:rStyle w:val="FontStyle30"/>
          <w:sz w:val="32"/>
        </w:rPr>
        <w:t>клиентов, соответствующих критериям клиента – иностранного налогоплательщика</w:t>
      </w:r>
      <w:bookmarkEnd w:id="9"/>
    </w:p>
    <w:p w:rsidR="004078D4" w:rsidRDefault="00421CCC" w:rsidP="00421CCC">
      <w:pPr>
        <w:widowControl/>
        <w:numPr>
          <w:ilvl w:val="1"/>
          <w:numId w:val="7"/>
        </w:numPr>
        <w:jc w:val="both"/>
        <w:rPr>
          <w:rFonts w:eastAsia="TimesNewRomanPSMT"/>
          <w:sz w:val="22"/>
          <w:szCs w:val="22"/>
        </w:rPr>
      </w:pPr>
      <w:r w:rsidRPr="002A7BBA">
        <w:rPr>
          <w:rFonts w:eastAsia="TimesNewRomanPSMT"/>
          <w:sz w:val="22"/>
          <w:szCs w:val="22"/>
        </w:rPr>
        <w:t xml:space="preserve">В целях выявления критериев и отнесения клиентов к категории клиента – иностранного налогоплательщика </w:t>
      </w:r>
      <w:r>
        <w:rPr>
          <w:rFonts w:eastAsia="TimesNewRomanPSMT"/>
          <w:sz w:val="22"/>
          <w:szCs w:val="22"/>
        </w:rPr>
        <w:t>Компания</w:t>
      </w:r>
      <w:r w:rsidRPr="002A7BBA">
        <w:rPr>
          <w:rFonts w:eastAsia="TimesNewRomanPSMT"/>
          <w:sz w:val="22"/>
          <w:szCs w:val="22"/>
        </w:rPr>
        <w:t xml:space="preserve"> </w:t>
      </w:r>
      <w:r w:rsidR="004078D4">
        <w:rPr>
          <w:rFonts w:eastAsia="TimesNewRomanPSMT"/>
          <w:sz w:val="22"/>
          <w:szCs w:val="22"/>
        </w:rPr>
        <w:t>применяет два варианта идентификации:</w:t>
      </w:r>
    </w:p>
    <w:p w:rsidR="004078D4" w:rsidRDefault="00421CCC" w:rsidP="007959B1">
      <w:pPr>
        <w:widowControl/>
        <w:numPr>
          <w:ilvl w:val="0"/>
          <w:numId w:val="32"/>
        </w:numPr>
        <w:jc w:val="both"/>
        <w:rPr>
          <w:rFonts w:eastAsia="TimesNewRomanPSMT"/>
          <w:sz w:val="22"/>
          <w:szCs w:val="22"/>
        </w:rPr>
      </w:pPr>
      <w:r w:rsidRPr="002A7BBA">
        <w:rPr>
          <w:rFonts w:eastAsia="TimesNewRomanPSMT"/>
          <w:sz w:val="22"/>
          <w:szCs w:val="22"/>
        </w:rPr>
        <w:lastRenderedPageBreak/>
        <w:t xml:space="preserve">анкетирование физических и юридических лиц, </w:t>
      </w:r>
      <w:r w:rsidR="00CF79EC">
        <w:rPr>
          <w:rFonts w:eastAsia="TimesNewRomanPSMT"/>
          <w:sz w:val="22"/>
          <w:szCs w:val="22"/>
        </w:rPr>
        <w:t>заключивших или заключающих договор страхования жизни с</w:t>
      </w:r>
      <w:r w:rsidRPr="002A7BBA">
        <w:rPr>
          <w:rFonts w:eastAsia="TimesNewRomanPSMT"/>
          <w:sz w:val="22"/>
          <w:szCs w:val="22"/>
        </w:rPr>
        <w:t xml:space="preserve"> </w:t>
      </w:r>
      <w:r>
        <w:rPr>
          <w:rFonts w:eastAsia="TimesNewRomanPSMT"/>
          <w:sz w:val="22"/>
          <w:szCs w:val="22"/>
        </w:rPr>
        <w:t>Компанией</w:t>
      </w:r>
      <w:r w:rsidR="001E426A">
        <w:rPr>
          <w:rFonts w:eastAsia="TimesNewRomanPSMT"/>
          <w:sz w:val="22"/>
          <w:szCs w:val="22"/>
        </w:rPr>
        <w:t>;</w:t>
      </w:r>
      <w:r w:rsidRPr="002A7BBA">
        <w:rPr>
          <w:rFonts w:eastAsia="TimesNewRomanPSMT"/>
          <w:sz w:val="22"/>
          <w:szCs w:val="22"/>
        </w:rPr>
        <w:t xml:space="preserve"> </w:t>
      </w:r>
      <w:r w:rsidR="001E426A">
        <w:rPr>
          <w:rFonts w:eastAsia="TimesNewRomanPSMT"/>
          <w:sz w:val="22"/>
          <w:szCs w:val="22"/>
        </w:rPr>
        <w:t xml:space="preserve">при этом Компания, </w:t>
      </w:r>
      <w:r w:rsidRPr="002A7BBA">
        <w:rPr>
          <w:rFonts w:eastAsia="TimesNewRomanPSMT"/>
          <w:sz w:val="22"/>
          <w:szCs w:val="22"/>
        </w:rPr>
        <w:t>при необходимости, получает согласие (отказ от предоставления согласия) клиента на передачу информации в иностранный налоговый орган, а также запрашивает у вышеуказанных лиц документы, необходимые для подтверждения/опровержения отнесения клиента к категории клиента – иностранного налогоплательщика</w:t>
      </w:r>
      <w:r w:rsidR="004078D4">
        <w:rPr>
          <w:rFonts w:eastAsia="TimesNewRomanPSMT"/>
          <w:sz w:val="22"/>
          <w:szCs w:val="22"/>
        </w:rPr>
        <w:t>;</w:t>
      </w:r>
    </w:p>
    <w:p w:rsidR="00421CCC" w:rsidRPr="002A7BBA" w:rsidRDefault="004078D4" w:rsidP="007959B1">
      <w:pPr>
        <w:widowControl/>
        <w:numPr>
          <w:ilvl w:val="0"/>
          <w:numId w:val="32"/>
        </w:numPr>
        <w:jc w:val="both"/>
        <w:rPr>
          <w:rFonts w:eastAsia="TimesNewRomanPSMT"/>
          <w:sz w:val="22"/>
          <w:szCs w:val="22"/>
        </w:rPr>
      </w:pPr>
      <w:r>
        <w:rPr>
          <w:rFonts w:eastAsia="TimesNewRomanPSMT"/>
          <w:sz w:val="22"/>
          <w:szCs w:val="22"/>
        </w:rPr>
        <w:t>идентификация клиента Компанией согласно сведениям, предоставленным клиентом при заключении договора страхования.</w:t>
      </w:r>
    </w:p>
    <w:p w:rsidR="00421CCC" w:rsidRPr="002A7BBA" w:rsidRDefault="00421CCC" w:rsidP="00421CCC">
      <w:pPr>
        <w:widowControl/>
        <w:numPr>
          <w:ilvl w:val="1"/>
          <w:numId w:val="7"/>
        </w:numPr>
        <w:jc w:val="both"/>
        <w:rPr>
          <w:rFonts w:eastAsia="TimesNewRomanPSMT"/>
          <w:sz w:val="22"/>
          <w:szCs w:val="22"/>
        </w:rPr>
      </w:pPr>
      <w:r w:rsidRPr="002A7BBA">
        <w:rPr>
          <w:rFonts w:eastAsia="TimesNewRomanPSMT"/>
          <w:sz w:val="22"/>
          <w:szCs w:val="22"/>
        </w:rPr>
        <w:t xml:space="preserve">Анкетирование физических и юридических лиц проводится на основании заполнения </w:t>
      </w:r>
      <w:r w:rsidR="002173D9" w:rsidRPr="002A7BBA">
        <w:rPr>
          <w:rFonts w:eastAsia="TimesNewRomanPSMT"/>
          <w:sz w:val="22"/>
          <w:szCs w:val="22"/>
        </w:rPr>
        <w:t>Опросных листов по формам, приведенным в Приложении 2 (для физических лиц</w:t>
      </w:r>
      <w:r w:rsidR="00292BE2">
        <w:rPr>
          <w:rFonts w:eastAsia="TimesNewRomanPSMT"/>
          <w:sz w:val="22"/>
          <w:szCs w:val="22"/>
        </w:rPr>
        <w:t xml:space="preserve"> и индивидуальных предпринимателей</w:t>
      </w:r>
      <w:r w:rsidR="002173D9" w:rsidRPr="002A7BBA">
        <w:rPr>
          <w:rFonts w:eastAsia="TimesNewRomanPSMT"/>
          <w:sz w:val="22"/>
          <w:szCs w:val="22"/>
        </w:rPr>
        <w:t xml:space="preserve">), Приложении 3 (для юридических лиц), к </w:t>
      </w:r>
      <w:r w:rsidR="00292BE2">
        <w:rPr>
          <w:rFonts w:eastAsia="TimesNewRomanPSMT"/>
          <w:sz w:val="22"/>
          <w:szCs w:val="22"/>
        </w:rPr>
        <w:t>Приказу</w:t>
      </w:r>
      <w:r w:rsidR="002173D9" w:rsidRPr="002A7BBA">
        <w:rPr>
          <w:rFonts w:eastAsia="TimesNewRomanPSMT"/>
          <w:sz w:val="22"/>
          <w:szCs w:val="22"/>
        </w:rPr>
        <w:t xml:space="preserve"> (далее – Опросный лист)</w:t>
      </w:r>
      <w:r w:rsidRPr="002A7BBA">
        <w:rPr>
          <w:rFonts w:eastAsia="TimesNewRomanPSMT"/>
          <w:sz w:val="22"/>
          <w:szCs w:val="22"/>
        </w:rPr>
        <w:t>, содержащих сведения для идентификации клиента в качестве иностранного налогоплательщика и согласие (отказ от предоставления согласия) клиента на передачу информации в иностранный налоговый орган.</w:t>
      </w:r>
    </w:p>
    <w:p w:rsidR="00421CCC" w:rsidRPr="009959F5" w:rsidRDefault="00421CCC" w:rsidP="00421CCC">
      <w:pPr>
        <w:widowControl/>
        <w:numPr>
          <w:ilvl w:val="1"/>
          <w:numId w:val="7"/>
        </w:numPr>
        <w:jc w:val="both"/>
        <w:rPr>
          <w:rFonts w:eastAsia="TimesNewRomanPSMT"/>
          <w:sz w:val="22"/>
          <w:szCs w:val="22"/>
        </w:rPr>
      </w:pPr>
      <w:r w:rsidRPr="009959F5">
        <w:rPr>
          <w:rFonts w:eastAsia="TimesNewRomanPSMT"/>
          <w:sz w:val="22"/>
          <w:szCs w:val="22"/>
        </w:rPr>
        <w:t xml:space="preserve">Опросные листы являются составной частью комплекта документов для </w:t>
      </w:r>
      <w:r w:rsidR="00AD4ED6" w:rsidRPr="009959F5">
        <w:rPr>
          <w:rFonts w:eastAsia="TimesNewRomanPSMT"/>
          <w:sz w:val="22"/>
          <w:szCs w:val="22"/>
        </w:rPr>
        <w:t xml:space="preserve">заключения договора страхования </w:t>
      </w:r>
      <w:r w:rsidR="00CF79EC" w:rsidRPr="009959F5">
        <w:rPr>
          <w:rFonts w:eastAsia="TimesNewRomanPSMT"/>
          <w:sz w:val="22"/>
          <w:szCs w:val="22"/>
        </w:rPr>
        <w:t xml:space="preserve">жизни </w:t>
      </w:r>
      <w:r w:rsidR="00AD4ED6" w:rsidRPr="009959F5">
        <w:rPr>
          <w:rFonts w:eastAsia="TimesNewRomanPSMT"/>
          <w:sz w:val="22"/>
          <w:szCs w:val="22"/>
        </w:rPr>
        <w:t>в</w:t>
      </w:r>
      <w:r w:rsidRPr="009959F5">
        <w:rPr>
          <w:rFonts w:eastAsia="TimesNewRomanPSMT"/>
          <w:sz w:val="22"/>
          <w:szCs w:val="22"/>
        </w:rPr>
        <w:t xml:space="preserve"> Компании</w:t>
      </w:r>
      <w:r w:rsidR="003058E9" w:rsidRPr="009959F5">
        <w:rPr>
          <w:rFonts w:eastAsia="TimesNewRomanPSMT"/>
          <w:sz w:val="22"/>
          <w:szCs w:val="22"/>
        </w:rPr>
        <w:t xml:space="preserve"> для физических </w:t>
      </w:r>
      <w:r w:rsidR="00CF79EC" w:rsidRPr="009959F5">
        <w:rPr>
          <w:rFonts w:eastAsia="TimesNewRomanPSMT"/>
          <w:sz w:val="22"/>
          <w:szCs w:val="22"/>
        </w:rPr>
        <w:t xml:space="preserve">и юридических </w:t>
      </w:r>
      <w:r w:rsidR="003058E9" w:rsidRPr="009959F5">
        <w:rPr>
          <w:rFonts w:eastAsia="TimesNewRomanPSMT"/>
          <w:sz w:val="22"/>
          <w:szCs w:val="22"/>
        </w:rPr>
        <w:t xml:space="preserve">лиц </w:t>
      </w:r>
      <w:r w:rsidR="00CF79EC" w:rsidRPr="009959F5">
        <w:rPr>
          <w:rFonts w:eastAsia="TimesNewRomanPSMT"/>
          <w:sz w:val="22"/>
          <w:szCs w:val="22"/>
        </w:rPr>
        <w:t>–</w:t>
      </w:r>
      <w:r w:rsidR="003058E9" w:rsidRPr="009959F5">
        <w:rPr>
          <w:rFonts w:eastAsia="TimesNewRomanPSMT"/>
          <w:sz w:val="22"/>
          <w:szCs w:val="22"/>
        </w:rPr>
        <w:t xml:space="preserve"> </w:t>
      </w:r>
      <w:r w:rsidR="00CF79EC" w:rsidRPr="009959F5">
        <w:rPr>
          <w:rFonts w:eastAsia="TimesNewRomanPSMT"/>
          <w:sz w:val="22"/>
          <w:szCs w:val="22"/>
        </w:rPr>
        <w:t>нерезидентов Российской Федерации</w:t>
      </w:r>
      <w:r w:rsidR="00493DBD" w:rsidRPr="009959F5">
        <w:rPr>
          <w:rFonts w:eastAsia="TimesNewRomanPSMT"/>
          <w:sz w:val="22"/>
          <w:szCs w:val="22"/>
        </w:rPr>
        <w:t xml:space="preserve"> либо направляются клиенту отдельно</w:t>
      </w:r>
      <w:r w:rsidR="00CF79EC" w:rsidRPr="009959F5">
        <w:rPr>
          <w:rFonts w:eastAsia="TimesNewRomanPSMT"/>
          <w:sz w:val="22"/>
          <w:szCs w:val="22"/>
        </w:rPr>
        <w:t>.</w:t>
      </w:r>
      <w:r w:rsidR="004078D4" w:rsidRPr="009959F5">
        <w:rPr>
          <w:rFonts w:eastAsia="TimesNewRomanPSMT"/>
          <w:sz w:val="22"/>
          <w:szCs w:val="22"/>
        </w:rPr>
        <w:t xml:space="preserve"> В случае</w:t>
      </w:r>
      <w:r w:rsidR="00493DBD" w:rsidRPr="009959F5">
        <w:rPr>
          <w:rFonts w:eastAsia="TimesNewRomanPSMT"/>
          <w:sz w:val="22"/>
          <w:szCs w:val="22"/>
        </w:rPr>
        <w:t xml:space="preserve"> проведения идентификации Компанией и</w:t>
      </w:r>
      <w:r w:rsidR="004078D4" w:rsidRPr="009959F5">
        <w:rPr>
          <w:rFonts w:eastAsia="TimesNewRomanPSMT"/>
          <w:sz w:val="22"/>
          <w:szCs w:val="22"/>
        </w:rPr>
        <w:t xml:space="preserve"> возникновения у Компании </w:t>
      </w:r>
      <w:r w:rsidR="00493DBD" w:rsidRPr="009959F5">
        <w:rPr>
          <w:rFonts w:eastAsia="TimesNewRomanPSMT"/>
          <w:sz w:val="22"/>
          <w:szCs w:val="22"/>
        </w:rPr>
        <w:t xml:space="preserve">подозрений о принадлежности клиента к категории иностранных налогоплательщиков направление опросных листов клиенту является обязательным. </w:t>
      </w:r>
    </w:p>
    <w:p w:rsidR="00421CCC" w:rsidRPr="002A7BBA" w:rsidRDefault="00421CCC" w:rsidP="00421CCC">
      <w:pPr>
        <w:widowControl/>
        <w:numPr>
          <w:ilvl w:val="1"/>
          <w:numId w:val="7"/>
        </w:numPr>
        <w:jc w:val="both"/>
        <w:rPr>
          <w:rFonts w:eastAsia="TimesNewRomanPSMT"/>
          <w:sz w:val="22"/>
          <w:szCs w:val="22"/>
        </w:rPr>
      </w:pPr>
      <w:r w:rsidRPr="002A7BBA">
        <w:rPr>
          <w:rFonts w:eastAsia="TimesNewRomanPSMT"/>
          <w:sz w:val="22"/>
          <w:szCs w:val="22"/>
        </w:rPr>
        <w:t xml:space="preserve">В целях подтверждения или опровержения предположений о том, что клиент, </w:t>
      </w:r>
      <w:r w:rsidR="00AD4ED6">
        <w:rPr>
          <w:rFonts w:eastAsia="TimesNewRomanPSMT"/>
          <w:sz w:val="22"/>
          <w:szCs w:val="22"/>
        </w:rPr>
        <w:t>заключивший договор страхования</w:t>
      </w:r>
      <w:r w:rsidR="00CF79EC">
        <w:rPr>
          <w:rFonts w:eastAsia="TimesNewRomanPSMT"/>
          <w:sz w:val="22"/>
          <w:szCs w:val="22"/>
        </w:rPr>
        <w:t xml:space="preserve"> жизни</w:t>
      </w:r>
      <w:r w:rsidR="00AD4ED6">
        <w:rPr>
          <w:rFonts w:eastAsia="TimesNewRomanPSMT"/>
          <w:sz w:val="22"/>
          <w:szCs w:val="22"/>
        </w:rPr>
        <w:t xml:space="preserve"> с</w:t>
      </w:r>
      <w:r w:rsidRPr="002A7BBA">
        <w:rPr>
          <w:rFonts w:eastAsia="TimesNewRomanPSMT"/>
          <w:sz w:val="22"/>
          <w:szCs w:val="22"/>
        </w:rPr>
        <w:t xml:space="preserve"> </w:t>
      </w:r>
      <w:r w:rsidR="00AD4ED6">
        <w:rPr>
          <w:rFonts w:eastAsia="TimesNewRomanPSMT"/>
          <w:sz w:val="22"/>
          <w:szCs w:val="22"/>
        </w:rPr>
        <w:t>Компанией</w:t>
      </w:r>
      <w:r w:rsidRPr="002A7BBA">
        <w:rPr>
          <w:rFonts w:eastAsia="TimesNewRomanPSMT"/>
          <w:sz w:val="22"/>
          <w:szCs w:val="22"/>
        </w:rPr>
        <w:t xml:space="preserve"> ранее принятия </w:t>
      </w:r>
      <w:r w:rsidR="00AD4ED6">
        <w:rPr>
          <w:rFonts w:eastAsia="TimesNewRomanPSMT"/>
          <w:sz w:val="22"/>
          <w:szCs w:val="22"/>
        </w:rPr>
        <w:t>Компанией</w:t>
      </w:r>
      <w:r w:rsidRPr="002A7BBA">
        <w:rPr>
          <w:rFonts w:eastAsia="TimesNewRomanPSMT"/>
          <w:sz w:val="22"/>
          <w:szCs w:val="22"/>
        </w:rPr>
        <w:t xml:space="preserve"> Документа, относится к категории клиента – иностранного налогоплательщика, </w:t>
      </w:r>
      <w:r w:rsidR="00AD4ED6">
        <w:rPr>
          <w:rFonts w:eastAsia="TimesNewRomanPSMT"/>
          <w:sz w:val="22"/>
          <w:szCs w:val="22"/>
        </w:rPr>
        <w:t>Компания</w:t>
      </w:r>
      <w:r w:rsidRPr="002A7BBA">
        <w:rPr>
          <w:rFonts w:eastAsia="TimesNewRomanPSMT"/>
          <w:sz w:val="22"/>
          <w:szCs w:val="22"/>
        </w:rPr>
        <w:t xml:space="preserve"> направляет клиенту письменный запрос с приложением Опросного листа одним из следующих способов:</w:t>
      </w:r>
    </w:p>
    <w:p w:rsidR="00421CCC" w:rsidRDefault="00421CCC" w:rsidP="00421CCC">
      <w:pPr>
        <w:widowControl/>
        <w:numPr>
          <w:ilvl w:val="0"/>
          <w:numId w:val="8"/>
        </w:numPr>
        <w:jc w:val="both"/>
        <w:rPr>
          <w:rFonts w:eastAsia="TimesNewRomanPSMT"/>
          <w:sz w:val="22"/>
          <w:szCs w:val="22"/>
        </w:rPr>
      </w:pPr>
      <w:r w:rsidRPr="002A7BBA">
        <w:rPr>
          <w:rFonts w:eastAsia="TimesNewRomanPSMT"/>
          <w:sz w:val="22"/>
          <w:szCs w:val="22"/>
        </w:rPr>
        <w:t xml:space="preserve">посредством вручения клиенту – физическому лицу, а также представителю клиента – юридического лица соответствующего запроса под роспись при </w:t>
      </w:r>
      <w:r w:rsidR="00AD4ED6">
        <w:rPr>
          <w:rFonts w:eastAsia="TimesNewRomanPSMT"/>
          <w:sz w:val="22"/>
          <w:szCs w:val="22"/>
        </w:rPr>
        <w:t>обращении клиента в Компанию</w:t>
      </w:r>
      <w:r w:rsidRPr="002A7BBA">
        <w:rPr>
          <w:rFonts w:eastAsia="TimesNewRomanPSMT"/>
          <w:sz w:val="22"/>
          <w:szCs w:val="22"/>
        </w:rPr>
        <w:t>;</w:t>
      </w:r>
    </w:p>
    <w:p w:rsidR="00D60E85" w:rsidRPr="002A7BBA" w:rsidRDefault="00D60E85" w:rsidP="00D60E85">
      <w:pPr>
        <w:widowControl/>
        <w:numPr>
          <w:ilvl w:val="0"/>
          <w:numId w:val="8"/>
        </w:numPr>
        <w:jc w:val="both"/>
        <w:rPr>
          <w:rFonts w:eastAsia="TimesNewRomanPSMT"/>
          <w:sz w:val="22"/>
          <w:szCs w:val="22"/>
        </w:rPr>
      </w:pPr>
      <w:r w:rsidRPr="002A7BBA">
        <w:rPr>
          <w:rFonts w:eastAsia="TimesNewRomanPSMT"/>
          <w:sz w:val="22"/>
          <w:szCs w:val="22"/>
        </w:rPr>
        <w:t xml:space="preserve">посредством </w:t>
      </w:r>
      <w:r>
        <w:rPr>
          <w:rFonts w:eastAsia="TimesNewRomanPSMT"/>
          <w:sz w:val="22"/>
          <w:szCs w:val="22"/>
        </w:rPr>
        <w:t>направления электронного письма на электронный почтовый ящик клиента в случае наличия сведений о его электронном адресе</w:t>
      </w:r>
      <w:r w:rsidRPr="002A7BBA">
        <w:rPr>
          <w:rFonts w:eastAsia="TimesNewRomanPSMT"/>
          <w:sz w:val="22"/>
          <w:szCs w:val="22"/>
        </w:rPr>
        <w:t>;</w:t>
      </w:r>
    </w:p>
    <w:p w:rsidR="00421CCC" w:rsidRPr="009959F5" w:rsidRDefault="00421CCC" w:rsidP="00421CCC">
      <w:pPr>
        <w:widowControl/>
        <w:numPr>
          <w:ilvl w:val="0"/>
          <w:numId w:val="8"/>
        </w:numPr>
        <w:jc w:val="both"/>
        <w:rPr>
          <w:rStyle w:val="FontStyle30"/>
          <w:sz w:val="24"/>
        </w:rPr>
      </w:pPr>
      <w:r w:rsidRPr="009959F5">
        <w:rPr>
          <w:rFonts w:eastAsia="TimesNewRomanPSMT"/>
          <w:sz w:val="22"/>
          <w:szCs w:val="22"/>
        </w:rPr>
        <w:t xml:space="preserve">заказным почтовым отправлением с уведомлением о вручении, в случае если запрос не был передан клиенту </w:t>
      </w:r>
      <w:r w:rsidR="00AD4ED6" w:rsidRPr="009959F5">
        <w:rPr>
          <w:rFonts w:eastAsia="TimesNewRomanPSMT"/>
          <w:sz w:val="22"/>
          <w:szCs w:val="22"/>
        </w:rPr>
        <w:t>лично</w:t>
      </w:r>
      <w:r w:rsidRPr="009959F5">
        <w:rPr>
          <w:rStyle w:val="FontStyle30"/>
          <w:sz w:val="24"/>
        </w:rPr>
        <w:t>.</w:t>
      </w:r>
    </w:p>
    <w:p w:rsidR="00421CCC" w:rsidRPr="002A7BBA" w:rsidRDefault="00421CCC" w:rsidP="00421CCC">
      <w:pPr>
        <w:widowControl/>
        <w:numPr>
          <w:ilvl w:val="1"/>
          <w:numId w:val="7"/>
        </w:numPr>
        <w:jc w:val="both"/>
        <w:rPr>
          <w:rFonts w:eastAsia="TimesNewRomanPSMT"/>
          <w:sz w:val="22"/>
          <w:szCs w:val="22"/>
        </w:rPr>
      </w:pPr>
      <w:r w:rsidRPr="002A7BBA">
        <w:rPr>
          <w:rFonts w:eastAsia="TimesNewRomanPSMT"/>
          <w:sz w:val="22"/>
          <w:szCs w:val="22"/>
        </w:rPr>
        <w:lastRenderedPageBreak/>
        <w:t xml:space="preserve">Срок для предоставления клиентом по запросу </w:t>
      </w:r>
      <w:r w:rsidR="00AD4ED6">
        <w:rPr>
          <w:rFonts w:eastAsia="TimesNewRomanPSMT"/>
          <w:sz w:val="22"/>
          <w:szCs w:val="22"/>
        </w:rPr>
        <w:t>Компании</w:t>
      </w:r>
      <w:r w:rsidRPr="002A7BBA">
        <w:rPr>
          <w:rFonts w:eastAsia="TimesNewRomanPSMT"/>
          <w:sz w:val="22"/>
          <w:szCs w:val="22"/>
        </w:rPr>
        <w:t xml:space="preserve"> информации, идентифицирующей его в качестве клиента – иностранного налогоплательщика, а также согласия (отказа от предоставления согласия) на передачу информации в иностранный налоговый орган (если применимо) составляет 15 (Пятнадцать) рабочих дней со дня направления </w:t>
      </w:r>
      <w:r w:rsidR="00AD4ED6">
        <w:rPr>
          <w:rFonts w:eastAsia="TimesNewRomanPSMT"/>
          <w:sz w:val="22"/>
          <w:szCs w:val="22"/>
        </w:rPr>
        <w:t>Компанией</w:t>
      </w:r>
      <w:r w:rsidRPr="002A7BBA">
        <w:rPr>
          <w:rFonts w:eastAsia="TimesNewRomanPSMT"/>
          <w:sz w:val="22"/>
          <w:szCs w:val="22"/>
        </w:rPr>
        <w:t xml:space="preserve"> клиенту соответствующего запроса.</w:t>
      </w:r>
    </w:p>
    <w:p w:rsidR="00421CCC" w:rsidRPr="002A7BBA" w:rsidRDefault="00421CCC" w:rsidP="00421CCC">
      <w:pPr>
        <w:widowControl/>
        <w:numPr>
          <w:ilvl w:val="1"/>
          <w:numId w:val="7"/>
        </w:numPr>
        <w:jc w:val="both"/>
        <w:rPr>
          <w:rFonts w:eastAsia="TimesNewRomanPSMT"/>
          <w:sz w:val="22"/>
          <w:szCs w:val="22"/>
        </w:rPr>
      </w:pPr>
      <w:r w:rsidRPr="002A7BBA">
        <w:rPr>
          <w:rFonts w:eastAsia="TimesNewRomanPSMT"/>
          <w:sz w:val="22"/>
          <w:szCs w:val="22"/>
        </w:rPr>
        <w:t xml:space="preserve">Согласие клиента – иностранного налогоплательщика на передачу информации в иностранный налоговый орган является одновременно согласием на передачу такой информации в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w:t>
      </w:r>
      <w:r w:rsidRPr="00AD4ED6">
        <w:rPr>
          <w:rFonts w:eastAsia="TimesNewRomanPSMT"/>
          <w:sz w:val="22"/>
          <w:szCs w:val="22"/>
        </w:rPr>
        <w:t>(</w:t>
      </w:r>
      <w:r w:rsidRPr="00AD4ED6">
        <w:rPr>
          <w:color w:val="000000"/>
          <w:sz w:val="22"/>
          <w:szCs w:val="22"/>
          <w:shd w:val="clear" w:color="auto" w:fill="FFFFFF"/>
        </w:rPr>
        <w:t>Федеральная служба по финансовому мониторингу (Росфинмониторинг))</w:t>
      </w:r>
      <w:r w:rsidRPr="002A7BBA">
        <w:rPr>
          <w:rFonts w:eastAsia="TimesNewRomanPSMT"/>
          <w:sz w:val="22"/>
          <w:szCs w:val="22"/>
        </w:rPr>
        <w:t>, и федеральный орган исполнительной власти, уполномоченный по контролю и надзору в области налогов и сборов (Федеральная налоговая служба (ФНС России)).</w:t>
      </w:r>
    </w:p>
    <w:p w:rsidR="00421CCC" w:rsidRPr="002A7BBA" w:rsidRDefault="00AD4ED6" w:rsidP="00421CCC">
      <w:pPr>
        <w:widowControl/>
        <w:numPr>
          <w:ilvl w:val="1"/>
          <w:numId w:val="7"/>
        </w:numPr>
        <w:jc w:val="both"/>
        <w:rPr>
          <w:rFonts w:eastAsia="TimesNewRomanPSMT"/>
          <w:sz w:val="22"/>
          <w:szCs w:val="22"/>
        </w:rPr>
      </w:pPr>
      <w:r>
        <w:rPr>
          <w:rStyle w:val="FontStyle30"/>
          <w:sz w:val="22"/>
          <w:szCs w:val="22"/>
        </w:rPr>
        <w:t>Компания</w:t>
      </w:r>
      <w:r w:rsidR="00421CCC" w:rsidRPr="002A7BBA">
        <w:rPr>
          <w:rStyle w:val="FontStyle30"/>
          <w:sz w:val="22"/>
          <w:szCs w:val="22"/>
        </w:rPr>
        <w:t xml:space="preserve"> устанавливает следующие способы получения от клиентов </w:t>
      </w:r>
      <w:r w:rsidR="00421CCC" w:rsidRPr="002A7BBA">
        <w:rPr>
          <w:rFonts w:eastAsia="TimesNewRomanPSMT"/>
          <w:sz w:val="22"/>
          <w:szCs w:val="22"/>
        </w:rPr>
        <w:t>документов, необходимых для подтверждения/опровержения отнесения клиента к категории клиента – иностранного налогоплательщика</w:t>
      </w:r>
      <w:r w:rsidR="00421CCC" w:rsidRPr="002A7BBA">
        <w:rPr>
          <w:rStyle w:val="FontStyle30"/>
          <w:sz w:val="22"/>
          <w:szCs w:val="22"/>
        </w:rPr>
        <w:t>:</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 xml:space="preserve">при </w:t>
      </w:r>
      <w:r w:rsidR="00AD4ED6">
        <w:rPr>
          <w:rFonts w:eastAsia="TimesNewRomanPSMT"/>
          <w:sz w:val="22"/>
          <w:szCs w:val="22"/>
        </w:rPr>
        <w:t>личном обращении</w:t>
      </w:r>
      <w:r w:rsidRPr="002A7BBA">
        <w:rPr>
          <w:rFonts w:eastAsia="TimesNewRomanPSMT"/>
          <w:sz w:val="22"/>
          <w:szCs w:val="22"/>
        </w:rPr>
        <w:t xml:space="preserve"> в </w:t>
      </w:r>
      <w:r w:rsidR="00AD4ED6">
        <w:rPr>
          <w:rFonts w:eastAsia="TimesNewRomanPSMT"/>
          <w:sz w:val="22"/>
          <w:szCs w:val="22"/>
        </w:rPr>
        <w:t>Компанию</w:t>
      </w:r>
      <w:r w:rsidRPr="002A7BBA">
        <w:rPr>
          <w:rFonts w:eastAsia="TimesNewRomanPSMT"/>
          <w:sz w:val="22"/>
          <w:szCs w:val="22"/>
        </w:rPr>
        <w:t xml:space="preserve"> клиента – физического лица, а также представителя клиента – </w:t>
      </w:r>
      <w:r w:rsidR="00AD4ED6">
        <w:rPr>
          <w:rFonts w:eastAsia="TimesNewRomanPSMT"/>
          <w:sz w:val="22"/>
          <w:szCs w:val="22"/>
        </w:rPr>
        <w:t>юридического лица;</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почтовым отправлением.</w:t>
      </w:r>
    </w:p>
    <w:p w:rsidR="00421CCC" w:rsidRPr="002A7BBA" w:rsidRDefault="00421CCC" w:rsidP="00421CCC">
      <w:pPr>
        <w:widowControl/>
        <w:numPr>
          <w:ilvl w:val="1"/>
          <w:numId w:val="7"/>
        </w:numPr>
        <w:jc w:val="both"/>
        <w:rPr>
          <w:rStyle w:val="FontStyle30"/>
          <w:rFonts w:eastAsia="TimesNewRomanPSMT"/>
          <w:sz w:val="22"/>
          <w:szCs w:val="22"/>
        </w:rPr>
      </w:pPr>
      <w:r w:rsidRPr="002A7BBA">
        <w:rPr>
          <w:rStyle w:val="FontStyle30"/>
          <w:sz w:val="22"/>
          <w:szCs w:val="22"/>
        </w:rPr>
        <w:t xml:space="preserve">Опросный лист подписывается клиентом </w:t>
      </w:r>
      <w:r w:rsidRPr="002A7BBA">
        <w:rPr>
          <w:rStyle w:val="FontStyle36"/>
          <w:sz w:val="22"/>
          <w:szCs w:val="22"/>
        </w:rPr>
        <w:t xml:space="preserve">или законным </w:t>
      </w:r>
      <w:r w:rsidRPr="002A7BBA">
        <w:rPr>
          <w:rStyle w:val="FontStyle30"/>
          <w:sz w:val="22"/>
          <w:szCs w:val="22"/>
        </w:rPr>
        <w:t xml:space="preserve">представителем, заверяется печатью (при наличии) и предоставляется в </w:t>
      </w:r>
      <w:r w:rsidR="00AD4ED6">
        <w:rPr>
          <w:rStyle w:val="FontStyle30"/>
          <w:sz w:val="22"/>
          <w:szCs w:val="22"/>
        </w:rPr>
        <w:t>Компанию</w:t>
      </w:r>
      <w:r w:rsidRPr="002A7BBA">
        <w:rPr>
          <w:rStyle w:val="FontStyle30"/>
          <w:sz w:val="22"/>
          <w:szCs w:val="22"/>
        </w:rPr>
        <w:t xml:space="preserve"> на бумажном носителе.</w:t>
      </w:r>
    </w:p>
    <w:p w:rsidR="00421CCC" w:rsidRPr="002A7BBA" w:rsidRDefault="00421CCC" w:rsidP="00421CCC">
      <w:pPr>
        <w:pStyle w:val="1"/>
        <w:numPr>
          <w:ilvl w:val="0"/>
          <w:numId w:val="7"/>
        </w:numPr>
        <w:rPr>
          <w:rStyle w:val="FontStyle30"/>
          <w:sz w:val="32"/>
        </w:rPr>
      </w:pPr>
      <w:bookmarkStart w:id="10" w:name="_Toc67586427"/>
      <w:r w:rsidRPr="002A7BBA">
        <w:rPr>
          <w:rStyle w:val="FontStyle30"/>
          <w:sz w:val="32"/>
        </w:rPr>
        <w:t>Последствия непредоставления клиентом документов, подтверждающих или опровергающих статус клиента – иностранного налогоплательщика, и согласия (отказа от предоставления согласия) на передачу информации в иностранный налоговый орган</w:t>
      </w:r>
      <w:bookmarkEnd w:id="10"/>
    </w:p>
    <w:p w:rsidR="00421CCC" w:rsidRPr="002A7BBA" w:rsidRDefault="00421CCC" w:rsidP="00421CCC">
      <w:pPr>
        <w:widowControl/>
        <w:numPr>
          <w:ilvl w:val="1"/>
          <w:numId w:val="7"/>
        </w:numPr>
        <w:jc w:val="both"/>
        <w:rPr>
          <w:rFonts w:eastAsia="TimesNewRomanPSMT"/>
          <w:sz w:val="22"/>
          <w:szCs w:val="22"/>
        </w:rPr>
      </w:pPr>
      <w:r w:rsidRPr="002A7BBA">
        <w:rPr>
          <w:rFonts w:eastAsia="TimesNewRomanPSMT"/>
          <w:sz w:val="22"/>
          <w:szCs w:val="22"/>
        </w:rPr>
        <w:t xml:space="preserve">В случае если клиент/потенциальный клиент не предоставил в течение 15 (Пятнадцать) рабочих дней со дня направления </w:t>
      </w:r>
      <w:r w:rsidR="00AD4ED6">
        <w:rPr>
          <w:rFonts w:eastAsia="TimesNewRomanPSMT"/>
          <w:sz w:val="22"/>
          <w:szCs w:val="22"/>
        </w:rPr>
        <w:t>Компанией</w:t>
      </w:r>
      <w:r w:rsidRPr="002A7BBA">
        <w:rPr>
          <w:rFonts w:eastAsia="TimesNewRomanPSMT"/>
          <w:sz w:val="22"/>
          <w:szCs w:val="22"/>
        </w:rPr>
        <w:t xml:space="preserve"> соответствующего запроса документы, подтверждающие </w:t>
      </w:r>
      <w:r w:rsidRPr="002A7BBA">
        <w:rPr>
          <w:rFonts w:eastAsia="TimesNewRomanPSMT"/>
          <w:sz w:val="22"/>
          <w:szCs w:val="22"/>
        </w:rPr>
        <w:lastRenderedPageBreak/>
        <w:t xml:space="preserve">или опровергающие его статус клиента – иностранного налогоплательщика и согласие (отказ от предоставления согласия) на передачу информации в иностранный налоговый орган (в случае принадлежности клиента в категории клиента – иностранного налогоплательщика), </w:t>
      </w:r>
      <w:r w:rsidR="00AD4ED6">
        <w:rPr>
          <w:rFonts w:eastAsia="TimesNewRomanPSMT"/>
          <w:sz w:val="22"/>
          <w:szCs w:val="22"/>
        </w:rPr>
        <w:t>Компания</w:t>
      </w:r>
      <w:r w:rsidRPr="002A7BBA">
        <w:rPr>
          <w:rFonts w:eastAsia="TimesNewRomanPSMT"/>
          <w:sz w:val="22"/>
          <w:szCs w:val="22"/>
        </w:rPr>
        <w:t xml:space="preserve"> вправе в соответствии с Законом:</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 xml:space="preserve">отказать клиенту в заключении договора </w:t>
      </w:r>
      <w:r w:rsidR="007B23F0">
        <w:rPr>
          <w:rFonts w:eastAsia="TimesNewRomanPSMT"/>
          <w:sz w:val="22"/>
          <w:szCs w:val="22"/>
        </w:rPr>
        <w:t>страхования жизни</w:t>
      </w:r>
      <w:r w:rsidRPr="002A7BBA">
        <w:rPr>
          <w:rFonts w:eastAsia="TimesNewRomanPSMT"/>
          <w:sz w:val="22"/>
          <w:szCs w:val="22"/>
        </w:rPr>
        <w:t>;</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отказаться от совершения операций, осуществляемых в пользу или по поручению такого клиента по договору</w:t>
      </w:r>
      <w:r w:rsidR="007B23F0">
        <w:rPr>
          <w:rFonts w:eastAsia="TimesNewRomanPSMT"/>
          <w:sz w:val="22"/>
          <w:szCs w:val="22"/>
        </w:rPr>
        <w:t xml:space="preserve"> страхования жизни</w:t>
      </w:r>
      <w:r w:rsidRPr="002A7BBA">
        <w:rPr>
          <w:rFonts w:eastAsia="TimesNewRomanPSMT"/>
          <w:sz w:val="22"/>
          <w:szCs w:val="22"/>
        </w:rPr>
        <w:t>, уведомив клиента о принятом решении не позднее дня, следующего за днем принятия такого решения;</w:t>
      </w:r>
    </w:p>
    <w:p w:rsidR="00421CCC" w:rsidRPr="002A7BBA" w:rsidRDefault="00421CCC" w:rsidP="00421CCC">
      <w:pPr>
        <w:widowControl/>
        <w:numPr>
          <w:ilvl w:val="0"/>
          <w:numId w:val="8"/>
        </w:numPr>
        <w:jc w:val="both"/>
        <w:rPr>
          <w:rFonts w:eastAsia="TimesNewRomanPSMT"/>
          <w:sz w:val="22"/>
          <w:szCs w:val="22"/>
        </w:rPr>
      </w:pPr>
      <w:r w:rsidRPr="002A7BBA">
        <w:rPr>
          <w:rFonts w:eastAsia="TimesNewRomanPSMT"/>
          <w:sz w:val="22"/>
          <w:szCs w:val="22"/>
        </w:rPr>
        <w:t>расторгнуть в одностороннем порядке договор</w:t>
      </w:r>
      <w:r w:rsidR="007B23F0">
        <w:rPr>
          <w:rFonts w:eastAsia="TimesNewRomanPSMT"/>
          <w:sz w:val="22"/>
          <w:szCs w:val="22"/>
        </w:rPr>
        <w:t xml:space="preserve"> страхования жизни</w:t>
      </w:r>
      <w:r w:rsidRPr="002A7BBA">
        <w:rPr>
          <w:rFonts w:eastAsia="TimesNewRomanPSMT"/>
          <w:sz w:val="22"/>
          <w:szCs w:val="22"/>
        </w:rPr>
        <w:t>, уведомив об этом клиента не ранее, чем за 30 (Тридцать) рабочих дней до дня расторжения договора.</w:t>
      </w:r>
    </w:p>
    <w:p w:rsidR="00421CCC" w:rsidRPr="002A7BBA" w:rsidRDefault="00421CCC" w:rsidP="00421CCC">
      <w:pPr>
        <w:widowControl/>
        <w:ind w:left="360"/>
        <w:jc w:val="both"/>
        <w:rPr>
          <w:rStyle w:val="FontStyle30"/>
          <w:rFonts w:eastAsia="TimesNewRomanPSMT"/>
          <w:sz w:val="22"/>
          <w:szCs w:val="22"/>
        </w:rPr>
        <w:sectPr w:rsidR="00421CCC" w:rsidRPr="002A7BBA" w:rsidSect="00D538D2">
          <w:footerReference w:type="first" r:id="rId10"/>
          <w:pgSz w:w="11905" w:h="16837"/>
          <w:pgMar w:top="567" w:right="1027" w:bottom="1440" w:left="1027" w:header="720" w:footer="720" w:gutter="0"/>
          <w:cols w:space="60"/>
          <w:noEndnote/>
          <w:titlePg/>
        </w:sectPr>
      </w:pPr>
    </w:p>
    <w:p w:rsidR="00421CCC" w:rsidRPr="002A7BBA" w:rsidRDefault="00421CCC" w:rsidP="00421CCC">
      <w:pPr>
        <w:widowControl/>
        <w:ind w:left="360"/>
        <w:jc w:val="both"/>
        <w:rPr>
          <w:rStyle w:val="FontStyle30"/>
          <w:rFonts w:eastAsia="TimesNewRomanPSMT"/>
          <w:sz w:val="22"/>
          <w:szCs w:val="22"/>
        </w:rPr>
      </w:pPr>
    </w:p>
    <w:p w:rsidR="00421CCC" w:rsidRPr="009959F5" w:rsidRDefault="00421CCC" w:rsidP="009959F5">
      <w:pPr>
        <w:pStyle w:val="Style8"/>
        <w:widowControl/>
        <w:spacing w:line="240" w:lineRule="exact"/>
        <w:ind w:left="34"/>
        <w:jc w:val="right"/>
        <w:rPr>
          <w:rStyle w:val="FontStyle30"/>
          <w:b/>
          <w:sz w:val="22"/>
          <w:szCs w:val="22"/>
        </w:rPr>
      </w:pPr>
      <w:r w:rsidRPr="009959F5">
        <w:rPr>
          <w:rStyle w:val="FontStyle30"/>
          <w:b/>
          <w:sz w:val="22"/>
          <w:szCs w:val="22"/>
        </w:rPr>
        <w:t xml:space="preserve">Приложение 1 </w:t>
      </w:r>
    </w:p>
    <w:p w:rsidR="009959F5" w:rsidRDefault="00421CCC" w:rsidP="009959F5">
      <w:pPr>
        <w:pStyle w:val="Style8"/>
        <w:widowControl/>
        <w:spacing w:line="240" w:lineRule="exact"/>
        <w:ind w:left="34"/>
        <w:jc w:val="right"/>
        <w:rPr>
          <w:rStyle w:val="FontStyle30"/>
          <w:b/>
          <w:sz w:val="22"/>
          <w:szCs w:val="22"/>
        </w:rPr>
      </w:pPr>
      <w:r w:rsidRPr="009959F5">
        <w:rPr>
          <w:rStyle w:val="FontStyle30"/>
          <w:b/>
          <w:sz w:val="22"/>
          <w:szCs w:val="22"/>
        </w:rPr>
        <w:t xml:space="preserve">к Критериям отнесения клиентов к категории </w:t>
      </w:r>
    </w:p>
    <w:p w:rsidR="009959F5" w:rsidRDefault="00421CCC" w:rsidP="009959F5">
      <w:pPr>
        <w:pStyle w:val="Style8"/>
        <w:widowControl/>
        <w:spacing w:line="240" w:lineRule="exact"/>
        <w:ind w:left="34"/>
        <w:jc w:val="right"/>
        <w:rPr>
          <w:rStyle w:val="FontStyle30"/>
          <w:b/>
          <w:sz w:val="22"/>
          <w:szCs w:val="22"/>
        </w:rPr>
      </w:pPr>
      <w:r w:rsidRPr="009959F5">
        <w:rPr>
          <w:rStyle w:val="FontStyle30"/>
          <w:b/>
          <w:sz w:val="22"/>
          <w:szCs w:val="22"/>
        </w:rPr>
        <w:t xml:space="preserve">клиента – иностранного налогоплательщика </w:t>
      </w:r>
    </w:p>
    <w:p w:rsidR="009959F5" w:rsidRDefault="00421CCC" w:rsidP="009959F5">
      <w:pPr>
        <w:pStyle w:val="Style8"/>
        <w:widowControl/>
        <w:spacing w:line="240" w:lineRule="exact"/>
        <w:ind w:left="34"/>
        <w:jc w:val="right"/>
        <w:rPr>
          <w:rStyle w:val="FontStyle30"/>
          <w:b/>
          <w:sz w:val="22"/>
          <w:szCs w:val="22"/>
        </w:rPr>
      </w:pPr>
      <w:r w:rsidRPr="009959F5">
        <w:rPr>
          <w:rStyle w:val="FontStyle30"/>
          <w:b/>
          <w:sz w:val="22"/>
        </w:rPr>
        <w:t xml:space="preserve">и </w:t>
      </w:r>
      <w:r w:rsidRPr="009959F5">
        <w:rPr>
          <w:rStyle w:val="FontStyle30"/>
          <w:b/>
          <w:sz w:val="22"/>
          <w:szCs w:val="22"/>
        </w:rPr>
        <w:t xml:space="preserve">способы получения </w:t>
      </w:r>
      <w:r w:rsidRPr="009959F5">
        <w:rPr>
          <w:rStyle w:val="FontStyle30"/>
          <w:b/>
          <w:sz w:val="22"/>
        </w:rPr>
        <w:t xml:space="preserve">от них </w:t>
      </w:r>
      <w:r w:rsidRPr="009959F5">
        <w:rPr>
          <w:rStyle w:val="FontStyle30"/>
          <w:b/>
          <w:sz w:val="22"/>
          <w:szCs w:val="22"/>
        </w:rPr>
        <w:t xml:space="preserve">необходимой информации </w:t>
      </w:r>
    </w:p>
    <w:p w:rsidR="00421CCC" w:rsidRPr="009959F5" w:rsidRDefault="00AD4ED6" w:rsidP="009959F5">
      <w:pPr>
        <w:pStyle w:val="Style8"/>
        <w:widowControl/>
        <w:spacing w:line="240" w:lineRule="exact"/>
        <w:ind w:left="34"/>
        <w:jc w:val="right"/>
        <w:rPr>
          <w:rStyle w:val="FontStyle30"/>
          <w:b/>
          <w:sz w:val="22"/>
          <w:szCs w:val="22"/>
        </w:rPr>
      </w:pPr>
      <w:r w:rsidRPr="009959F5">
        <w:rPr>
          <w:rStyle w:val="FontStyle30"/>
          <w:b/>
          <w:sz w:val="22"/>
          <w:szCs w:val="22"/>
        </w:rPr>
        <w:t>ООО СК «Согласие-Вита»</w:t>
      </w:r>
    </w:p>
    <w:p w:rsidR="00421CCC" w:rsidRPr="002A7BBA" w:rsidRDefault="00421CCC" w:rsidP="00421CCC">
      <w:pPr>
        <w:pStyle w:val="Style8"/>
        <w:widowControl/>
        <w:spacing w:line="240" w:lineRule="exact"/>
        <w:ind w:left="5387"/>
        <w:jc w:val="both"/>
        <w:rPr>
          <w:rStyle w:val="FontStyle30"/>
          <w:sz w:val="22"/>
          <w:szCs w:val="22"/>
        </w:rPr>
      </w:pPr>
    </w:p>
    <w:p w:rsidR="00421CCC" w:rsidRPr="002A7BBA" w:rsidRDefault="00421CCC" w:rsidP="00421CCC">
      <w:pPr>
        <w:pStyle w:val="Style8"/>
        <w:widowControl/>
        <w:spacing w:line="240" w:lineRule="exact"/>
        <w:ind w:left="5387"/>
        <w:jc w:val="both"/>
        <w:rPr>
          <w:rStyle w:val="FontStyle30"/>
          <w:sz w:val="22"/>
          <w:szCs w:val="22"/>
        </w:rPr>
      </w:pPr>
    </w:p>
    <w:p w:rsidR="00421CCC" w:rsidRPr="002A7BBA" w:rsidRDefault="00421CCC" w:rsidP="00421CCC">
      <w:pPr>
        <w:pStyle w:val="Style8"/>
        <w:widowControl/>
        <w:spacing w:line="240" w:lineRule="exact"/>
        <w:ind w:left="5387"/>
        <w:jc w:val="both"/>
        <w:rPr>
          <w:rStyle w:val="FontStyle30"/>
          <w:sz w:val="22"/>
          <w:szCs w:val="22"/>
        </w:rPr>
      </w:pPr>
    </w:p>
    <w:p w:rsidR="00421CCC" w:rsidRPr="00413ADF" w:rsidRDefault="00421CCC" w:rsidP="00413ADF">
      <w:pPr>
        <w:pStyle w:val="1"/>
        <w:ind w:left="360"/>
        <w:rPr>
          <w:rStyle w:val="FontStyle30"/>
          <w:sz w:val="32"/>
        </w:rPr>
      </w:pPr>
      <w:bookmarkStart w:id="11" w:name="_Toc67586428"/>
      <w:r w:rsidRPr="00413ADF">
        <w:rPr>
          <w:rStyle w:val="FontStyle30"/>
          <w:sz w:val="32"/>
        </w:rPr>
        <w:t>Юридические лица, на которых не распространяется действие Закона США от 18.03.2010г. «О налогообложении иностранных счетов» (FATCA)</w:t>
      </w:r>
      <w:bookmarkEnd w:id="11"/>
    </w:p>
    <w:p w:rsidR="00421CCC" w:rsidRPr="002A7BBA" w:rsidRDefault="00421CCC" w:rsidP="00421CCC">
      <w:pPr>
        <w:pStyle w:val="Style8"/>
        <w:widowControl/>
        <w:spacing w:line="240" w:lineRule="exact"/>
        <w:jc w:val="center"/>
        <w:rPr>
          <w:rFonts w:eastAsia="TimesNewRomanPSMT"/>
          <w:sz w:val="22"/>
          <w:szCs w:val="22"/>
        </w:rPr>
      </w:pPr>
    </w:p>
    <w:p w:rsidR="00421CCC" w:rsidRPr="002A7BBA" w:rsidRDefault="00421CCC" w:rsidP="00421CCC">
      <w:pPr>
        <w:widowControl/>
        <w:numPr>
          <w:ilvl w:val="0"/>
          <w:numId w:val="12"/>
        </w:numPr>
        <w:shd w:val="clear" w:color="auto" w:fill="FFFFFF"/>
        <w:autoSpaceDE/>
        <w:autoSpaceDN/>
        <w:adjustRightInd/>
        <w:ind w:left="714" w:hanging="357"/>
        <w:jc w:val="both"/>
        <w:rPr>
          <w:color w:val="000000"/>
          <w:sz w:val="22"/>
          <w:szCs w:val="22"/>
        </w:rPr>
      </w:pPr>
      <w:r w:rsidRPr="002A7BBA">
        <w:rPr>
          <w:color w:val="000000"/>
          <w:sz w:val="22"/>
          <w:szCs w:val="22"/>
        </w:rPr>
        <w:t>Американская корпорация, акции, которой регулярно котируются на одной или более организованной бирже ценных бумаг;</w:t>
      </w:r>
    </w:p>
    <w:p w:rsidR="00421CCC" w:rsidRPr="002A7BBA" w:rsidRDefault="00421CCC" w:rsidP="00421CCC">
      <w:pPr>
        <w:widowControl/>
        <w:numPr>
          <w:ilvl w:val="0"/>
          <w:numId w:val="12"/>
        </w:numPr>
        <w:shd w:val="clear" w:color="auto" w:fill="FFFFFF"/>
        <w:autoSpaceDE/>
        <w:autoSpaceDN/>
        <w:adjustRightInd/>
        <w:ind w:left="714" w:hanging="357"/>
        <w:jc w:val="both"/>
        <w:rPr>
          <w:color w:val="000000"/>
          <w:sz w:val="22"/>
          <w:szCs w:val="22"/>
        </w:rPr>
      </w:pPr>
      <w:r w:rsidRPr="002A7BBA">
        <w:rPr>
          <w:color w:val="000000"/>
          <w:sz w:val="22"/>
          <w:szCs w:val="22"/>
        </w:rPr>
        <w:t>Американская компания или корпорация, которая входит в расширенную аффилированную группу компании и/или корпорации, указанной в предыдущем пункте;</w:t>
      </w:r>
    </w:p>
    <w:p w:rsidR="00421CCC" w:rsidRPr="002A7BBA" w:rsidRDefault="00421CCC" w:rsidP="00421CCC">
      <w:pPr>
        <w:widowControl/>
        <w:numPr>
          <w:ilvl w:val="0"/>
          <w:numId w:val="12"/>
        </w:numPr>
        <w:shd w:val="clear" w:color="auto" w:fill="FFFFFF"/>
        <w:autoSpaceDE/>
        <w:autoSpaceDN/>
        <w:adjustRightInd/>
        <w:ind w:left="714" w:hanging="357"/>
        <w:jc w:val="both"/>
        <w:rPr>
          <w:color w:val="000000"/>
          <w:sz w:val="22"/>
          <w:szCs w:val="22"/>
        </w:rPr>
      </w:pPr>
      <w:r w:rsidRPr="002A7BBA">
        <w:rPr>
          <w:color w:val="000000"/>
          <w:sz w:val="22"/>
          <w:szCs w:val="22"/>
        </w:rPr>
        <w:t>Американская организация, освобожденная от налогообложения согласно секции 501(а) Налогового Кодекса США, а также пенсионные фонды, определение которых установлено секцией 7701(а)(37) Налогового Кодекса США;</w:t>
      </w:r>
    </w:p>
    <w:p w:rsidR="00421CCC" w:rsidRPr="002A7BBA" w:rsidRDefault="00421CCC" w:rsidP="00421CCC">
      <w:pPr>
        <w:widowControl/>
        <w:numPr>
          <w:ilvl w:val="0"/>
          <w:numId w:val="12"/>
        </w:numPr>
        <w:shd w:val="clear" w:color="auto" w:fill="FFFFFF"/>
        <w:autoSpaceDE/>
        <w:autoSpaceDN/>
        <w:adjustRightInd/>
        <w:ind w:left="714" w:hanging="357"/>
        <w:jc w:val="both"/>
        <w:rPr>
          <w:color w:val="000000"/>
          <w:sz w:val="22"/>
          <w:szCs w:val="22"/>
        </w:rPr>
      </w:pPr>
      <w:r w:rsidRPr="002A7BBA">
        <w:rPr>
          <w:color w:val="000000"/>
          <w:sz w:val="22"/>
          <w:szCs w:val="22"/>
        </w:rPr>
        <w:t>Государственное учреждение или агентство США и его дочерние организации;</w:t>
      </w:r>
    </w:p>
    <w:p w:rsidR="00421CCC" w:rsidRPr="002A7BBA" w:rsidRDefault="00421CCC" w:rsidP="00421CCC">
      <w:pPr>
        <w:widowControl/>
        <w:numPr>
          <w:ilvl w:val="0"/>
          <w:numId w:val="12"/>
        </w:numPr>
        <w:shd w:val="clear" w:color="auto" w:fill="FFFFFF"/>
        <w:autoSpaceDE/>
        <w:autoSpaceDN/>
        <w:adjustRightInd/>
        <w:ind w:left="714" w:hanging="357"/>
        <w:jc w:val="both"/>
        <w:rPr>
          <w:color w:val="000000"/>
          <w:sz w:val="22"/>
          <w:szCs w:val="22"/>
        </w:rPr>
      </w:pPr>
      <w:r w:rsidRPr="002A7BBA">
        <w:rPr>
          <w:color w:val="000000"/>
          <w:sz w:val="22"/>
          <w:szCs w:val="22"/>
        </w:rPr>
        <w:t>Любой штат США, Округ Колумбия, подконтрольные США территории (Американское Самоа, Территория Гуам, Северные Марианские о-ва, Пуэрто Рико, Американские Виргинские о-ва), их любое политическое отделение или любое агентство или другое образование, которое ими создано или полностью им принадлежит;</w:t>
      </w:r>
    </w:p>
    <w:p w:rsidR="00421CCC" w:rsidRPr="002A7BBA" w:rsidRDefault="00421CCC" w:rsidP="00421CCC">
      <w:pPr>
        <w:widowControl/>
        <w:numPr>
          <w:ilvl w:val="0"/>
          <w:numId w:val="12"/>
        </w:numPr>
        <w:shd w:val="clear" w:color="auto" w:fill="FFFFFF"/>
        <w:autoSpaceDE/>
        <w:autoSpaceDN/>
        <w:adjustRightInd/>
        <w:ind w:left="714" w:hanging="357"/>
        <w:jc w:val="both"/>
        <w:rPr>
          <w:color w:val="000000"/>
          <w:sz w:val="22"/>
          <w:szCs w:val="22"/>
        </w:rPr>
      </w:pPr>
      <w:r w:rsidRPr="002A7BBA">
        <w:rPr>
          <w:color w:val="000000"/>
          <w:sz w:val="22"/>
          <w:szCs w:val="22"/>
        </w:rPr>
        <w:t>Американский банк в соответствии с определением секции 581 Налогового Кодекса США (банковские и трастовые организации, существенную часть бизнеса которых составляет прием депозитов, выдача кредитов или предоставление фидуциарных услуг и которые имеют соответствующую лицензию);</w:t>
      </w:r>
    </w:p>
    <w:p w:rsidR="00421CCC" w:rsidRPr="002A7BBA" w:rsidRDefault="00421CCC" w:rsidP="00421CCC">
      <w:pPr>
        <w:widowControl/>
        <w:numPr>
          <w:ilvl w:val="0"/>
          <w:numId w:val="12"/>
        </w:numPr>
        <w:shd w:val="clear" w:color="auto" w:fill="FFFFFF"/>
        <w:autoSpaceDE/>
        <w:autoSpaceDN/>
        <w:adjustRightInd/>
        <w:ind w:left="714" w:hanging="357"/>
        <w:jc w:val="both"/>
        <w:rPr>
          <w:color w:val="000000"/>
          <w:sz w:val="22"/>
          <w:szCs w:val="22"/>
        </w:rPr>
      </w:pPr>
      <w:r w:rsidRPr="002A7BBA">
        <w:rPr>
          <w:color w:val="000000"/>
          <w:sz w:val="22"/>
          <w:szCs w:val="22"/>
        </w:rPr>
        <w:lastRenderedPageBreak/>
        <w:t>Американский инвестиционный фонд недвижимости, определенный в соответствии с секцией 856 Налогового Кодекса США;</w:t>
      </w:r>
    </w:p>
    <w:p w:rsidR="00421CCC" w:rsidRPr="002A7BBA" w:rsidRDefault="00421CCC" w:rsidP="00421CCC">
      <w:pPr>
        <w:widowControl/>
        <w:numPr>
          <w:ilvl w:val="0"/>
          <w:numId w:val="12"/>
        </w:numPr>
        <w:shd w:val="clear" w:color="auto" w:fill="FFFFFF"/>
        <w:autoSpaceDE/>
        <w:autoSpaceDN/>
        <w:adjustRightInd/>
        <w:ind w:left="714" w:hanging="357"/>
        <w:jc w:val="both"/>
        <w:rPr>
          <w:color w:val="000000"/>
          <w:sz w:val="22"/>
          <w:szCs w:val="22"/>
        </w:rPr>
      </w:pPr>
      <w:r w:rsidRPr="002A7BBA">
        <w:rPr>
          <w:color w:val="000000"/>
          <w:sz w:val="22"/>
          <w:szCs w:val="22"/>
        </w:rPr>
        <w:t>Американская регулируемая инвестиционная компания, соответствующая определению секции 851 Налогового Кодекса США или любая компания, зарегистрированная в Комиссии по ценным бумагам и биржам США;</w:t>
      </w:r>
    </w:p>
    <w:p w:rsidR="00421CCC" w:rsidRPr="002A7BBA" w:rsidRDefault="00421CCC" w:rsidP="00421CCC">
      <w:pPr>
        <w:widowControl/>
        <w:numPr>
          <w:ilvl w:val="0"/>
          <w:numId w:val="12"/>
        </w:numPr>
        <w:shd w:val="clear" w:color="auto" w:fill="FFFFFF"/>
        <w:autoSpaceDE/>
        <w:autoSpaceDN/>
        <w:adjustRightInd/>
        <w:ind w:left="714" w:hanging="357"/>
        <w:jc w:val="both"/>
        <w:rPr>
          <w:color w:val="000000"/>
          <w:sz w:val="22"/>
          <w:szCs w:val="22"/>
        </w:rPr>
      </w:pPr>
      <w:r w:rsidRPr="002A7BBA">
        <w:rPr>
          <w:color w:val="000000"/>
          <w:sz w:val="22"/>
          <w:szCs w:val="22"/>
        </w:rPr>
        <w:t>Американский инвестиционный фонд (common trust fund) в соответствии с определением, содержащимся в секции 584 Налогового Кодекса США;</w:t>
      </w:r>
    </w:p>
    <w:p w:rsidR="00421CCC" w:rsidRPr="002A7BBA" w:rsidRDefault="00421CCC" w:rsidP="00421CCC">
      <w:pPr>
        <w:widowControl/>
        <w:numPr>
          <w:ilvl w:val="0"/>
          <w:numId w:val="12"/>
        </w:numPr>
        <w:shd w:val="clear" w:color="auto" w:fill="FFFFFF"/>
        <w:autoSpaceDE/>
        <w:autoSpaceDN/>
        <w:adjustRightInd/>
        <w:ind w:left="714" w:hanging="357"/>
        <w:jc w:val="both"/>
        <w:rPr>
          <w:color w:val="000000"/>
          <w:sz w:val="22"/>
          <w:szCs w:val="22"/>
        </w:rPr>
      </w:pPr>
      <w:r w:rsidRPr="002A7BBA">
        <w:rPr>
          <w:color w:val="000000"/>
          <w:sz w:val="22"/>
          <w:szCs w:val="22"/>
        </w:rPr>
        <w:t>Американский траст, освобожденный от налогообложения согласно секции 664(с) (положение данной секции касаются трастов, созданных для благотворительных целей) Налогового Кодекса США;</w:t>
      </w:r>
    </w:p>
    <w:p w:rsidR="00421CCC" w:rsidRPr="002A7BBA" w:rsidRDefault="00421CCC" w:rsidP="00421CCC">
      <w:pPr>
        <w:widowControl/>
        <w:numPr>
          <w:ilvl w:val="0"/>
          <w:numId w:val="12"/>
        </w:numPr>
        <w:shd w:val="clear" w:color="auto" w:fill="FFFFFF"/>
        <w:autoSpaceDE/>
        <w:autoSpaceDN/>
        <w:adjustRightInd/>
        <w:ind w:left="714" w:hanging="357"/>
        <w:jc w:val="both"/>
        <w:rPr>
          <w:color w:val="000000"/>
          <w:sz w:val="22"/>
          <w:szCs w:val="22"/>
        </w:rPr>
      </w:pPr>
      <w:r w:rsidRPr="002A7BBA">
        <w:rPr>
          <w:color w:val="000000"/>
          <w:sz w:val="22"/>
          <w:szCs w:val="22"/>
        </w:rPr>
        <w:t>Американский дилер ценными бумагами, товарами биржевой торговли или деривативами (включая такие инструменты как фьючерсы, форварды, опционы), который зарегистрирован в качестве дилера в соответствии с требованиями законодательства США;</w:t>
      </w:r>
    </w:p>
    <w:p w:rsidR="00421CCC" w:rsidRPr="002A7BBA" w:rsidRDefault="00421CCC" w:rsidP="00421CCC">
      <w:pPr>
        <w:widowControl/>
        <w:numPr>
          <w:ilvl w:val="0"/>
          <w:numId w:val="12"/>
        </w:numPr>
        <w:shd w:val="clear" w:color="auto" w:fill="FFFFFF"/>
        <w:autoSpaceDE/>
        <w:autoSpaceDN/>
        <w:adjustRightInd/>
        <w:ind w:left="714" w:hanging="357"/>
        <w:jc w:val="both"/>
        <w:rPr>
          <w:color w:val="000000"/>
          <w:sz w:val="22"/>
          <w:szCs w:val="22"/>
        </w:rPr>
      </w:pPr>
      <w:r w:rsidRPr="002A7BBA">
        <w:rPr>
          <w:color w:val="000000"/>
          <w:sz w:val="22"/>
          <w:szCs w:val="22"/>
        </w:rPr>
        <w:t>Американский брокер, имеющий соответствующую лицензию в соответствии с требованиями законодательства США;</w:t>
      </w:r>
    </w:p>
    <w:p w:rsidR="00421CCC" w:rsidRPr="002A7BBA" w:rsidRDefault="00421CCC" w:rsidP="00421CCC">
      <w:pPr>
        <w:widowControl/>
        <w:numPr>
          <w:ilvl w:val="0"/>
          <w:numId w:val="12"/>
        </w:numPr>
        <w:shd w:val="clear" w:color="auto" w:fill="FFFFFF"/>
        <w:autoSpaceDE/>
        <w:autoSpaceDN/>
        <w:adjustRightInd/>
        <w:ind w:left="714" w:hanging="357"/>
        <w:jc w:val="both"/>
        <w:rPr>
          <w:color w:val="000000"/>
          <w:sz w:val="22"/>
          <w:szCs w:val="22"/>
        </w:rPr>
      </w:pPr>
      <w:r w:rsidRPr="002A7BBA">
        <w:rPr>
          <w:color w:val="000000"/>
          <w:sz w:val="22"/>
          <w:szCs w:val="22"/>
        </w:rPr>
        <w:t>Американский траст, освобожденный от налогообложения согласно секции 403(b) (трасты, созданные для сотрудников организации, удовлетворяющие определенным критериям) и секции 457(g) (трасты, созданные для выплаты компенсаций сотрудникам государственных организаций США) Налогового Кодекса США.</w:t>
      </w:r>
    </w:p>
    <w:p w:rsidR="00CC6589" w:rsidRDefault="00CC6589" w:rsidP="00421CCC">
      <w:pPr>
        <w:pStyle w:val="Style8"/>
        <w:widowControl/>
        <w:spacing w:line="240" w:lineRule="exact"/>
      </w:pPr>
    </w:p>
    <w:p w:rsidR="00CC6589" w:rsidRDefault="00CC6589" w:rsidP="00421CCC">
      <w:pPr>
        <w:pStyle w:val="Style8"/>
        <w:widowControl/>
        <w:spacing w:line="240" w:lineRule="exact"/>
      </w:pPr>
    </w:p>
    <w:p w:rsidR="00CC6589" w:rsidRDefault="00CC6589" w:rsidP="00421CCC">
      <w:pPr>
        <w:pStyle w:val="Style8"/>
        <w:widowControl/>
        <w:spacing w:line="240" w:lineRule="exact"/>
      </w:pPr>
    </w:p>
    <w:p w:rsidR="009959F5" w:rsidRDefault="009959F5">
      <w:pPr>
        <w:widowControl/>
        <w:autoSpaceDE/>
        <w:autoSpaceDN/>
        <w:adjustRightInd/>
        <w:rPr>
          <w:rFonts w:ascii="Cambria" w:hAnsi="Cambria"/>
          <w:b/>
          <w:bCs/>
          <w:kern w:val="32"/>
          <w:sz w:val="12"/>
          <w:szCs w:val="12"/>
        </w:rPr>
      </w:pPr>
    </w:p>
    <w:sectPr w:rsidR="009959F5" w:rsidSect="009959F5">
      <w:footerReference w:type="first" r:id="rId11"/>
      <w:pgSz w:w="11905" w:h="16837"/>
      <w:pgMar w:top="823" w:right="706" w:bottom="709" w:left="851" w:header="284" w:footer="72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142" w:rsidRDefault="00C26142">
      <w:r>
        <w:separator/>
      </w:r>
    </w:p>
  </w:endnote>
  <w:endnote w:type="continuationSeparator" w:id="0">
    <w:p w:rsidR="00C26142" w:rsidRDefault="00C26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142" w:rsidRDefault="00C26142">
    <w:pPr>
      <w:pStyle w:val="a5"/>
      <w:jc w:val="right"/>
    </w:pPr>
    <w:r>
      <w:fldChar w:fldCharType="begin"/>
    </w:r>
    <w:r>
      <w:instrText>PAGE   \* MERGEFORMAT</w:instrText>
    </w:r>
    <w:r>
      <w:fldChar w:fldCharType="separate"/>
    </w:r>
    <w:r w:rsidR="009D0BB6">
      <w:rPr>
        <w:noProof/>
      </w:rPr>
      <w:t>2</w:t>
    </w:r>
    <w:r>
      <w:fldChar w:fldCharType="end"/>
    </w:r>
  </w:p>
  <w:p w:rsidR="00C26142" w:rsidRDefault="00C2614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142" w:rsidRDefault="00C26142">
    <w:pPr>
      <w:widowContr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142" w:rsidRDefault="00C26142">
    <w:pPr>
      <w:pStyle w:val="a5"/>
      <w:jc w:val="right"/>
    </w:pPr>
    <w:r>
      <w:fldChar w:fldCharType="begin"/>
    </w:r>
    <w:r>
      <w:instrText>PAGE   \* MERGEFORMAT</w:instrText>
    </w:r>
    <w:r>
      <w:fldChar w:fldCharType="separate"/>
    </w:r>
    <w:r w:rsidR="009D0BB6">
      <w:rPr>
        <w:noProof/>
      </w:rPr>
      <w:t>3</w:t>
    </w:r>
    <w:r>
      <w:fldChar w:fldCharType="end"/>
    </w:r>
  </w:p>
  <w:p w:rsidR="00C26142" w:rsidRDefault="00C26142">
    <w:pPr>
      <w:widowControl/>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142" w:rsidRDefault="00C26142">
    <w:pPr>
      <w:pStyle w:val="a5"/>
      <w:jc w:val="right"/>
    </w:pPr>
    <w:r>
      <w:fldChar w:fldCharType="begin"/>
    </w:r>
    <w:r>
      <w:instrText>PAGE   \* MERGEFORMAT</w:instrText>
    </w:r>
    <w:r>
      <w:fldChar w:fldCharType="separate"/>
    </w:r>
    <w:r w:rsidR="009D0BB6">
      <w:rPr>
        <w:noProof/>
      </w:rPr>
      <w:t>8</w:t>
    </w:r>
    <w:r>
      <w:fldChar w:fldCharType="end"/>
    </w:r>
  </w:p>
  <w:p w:rsidR="00C26142" w:rsidRDefault="00C26142">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142" w:rsidRDefault="00C26142">
      <w:r>
        <w:separator/>
      </w:r>
    </w:p>
  </w:footnote>
  <w:footnote w:type="continuationSeparator" w:id="0">
    <w:p w:rsidR="00C26142" w:rsidRDefault="00C26142">
      <w:r>
        <w:continuationSeparator/>
      </w:r>
    </w:p>
  </w:footnote>
  <w:footnote w:id="1">
    <w:p w:rsidR="00C26142" w:rsidRDefault="00C26142" w:rsidP="00421CCC">
      <w:pPr>
        <w:pStyle w:val="a7"/>
        <w:jc w:val="both"/>
      </w:pPr>
      <w:r w:rsidRPr="00DE410D">
        <w:rPr>
          <w:rStyle w:val="af4"/>
          <w:sz w:val="18"/>
          <w:szCs w:val="18"/>
        </w:rPr>
        <w:footnoteRef/>
      </w:r>
      <w:r w:rsidRPr="00DE410D">
        <w:rPr>
          <w:sz w:val="18"/>
          <w:szCs w:val="18"/>
        </w:rPr>
        <w:t xml:space="preserve"> </w:t>
      </w:r>
      <w:r w:rsidRPr="00FF4C83">
        <w:rPr>
          <w:sz w:val="18"/>
          <w:szCs w:val="18"/>
        </w:rPr>
        <w:t>Бенефициар в целях Закона США от 18.03.2010 «О налогообложении иностранных счетов» (FATCA)» (в отличие от понятия в целях Федерального закона РФ от 07.08.2001 N 115-ФЗ) - физическое лицо, которое, в конечном счете, прямо или косвенно, в т.ч. через третьих лиц владеет юридическим лицом (имеет преобладающее участие в иностранной корпорации/партнёрстве/простом или сложным трасте (доверительном управлении) более 10%; в инвестиционной компании/трасте гранта - любое право собственности (более 0%)).</w:t>
      </w:r>
    </w:p>
  </w:footnote>
  <w:footnote w:id="2">
    <w:p w:rsidR="00C26142" w:rsidRDefault="00C26142" w:rsidP="00421CCC">
      <w:pPr>
        <w:pStyle w:val="Default"/>
        <w:jc w:val="both"/>
      </w:pPr>
      <w:r w:rsidRPr="00FF4C83">
        <w:rPr>
          <w:rStyle w:val="af4"/>
          <w:sz w:val="18"/>
          <w:szCs w:val="18"/>
        </w:rPr>
        <w:footnoteRef/>
      </w:r>
      <w:r w:rsidRPr="00FF4C83">
        <w:rPr>
          <w:sz w:val="18"/>
          <w:szCs w:val="18"/>
        </w:rPr>
        <w:t xml:space="preserve"> К «пассивным доходам» относятся: дивиденды; проценты; доходы, полученные от пула страховых договоров, при условии, что полученные суммы зависят целиком или в части от доходности пула; рента и роялти (за исключением ренты и роялти, полученной в ходе активной операционной деятельности); аннуитеты; прибыль от продажи или обмена имущества, приносящего один из видов вышеуказанных доходов; прибыль от сделок с биржевыми товарами (включая фьючерсы, форварды и аналогичные сделки), за исключением сделок, которые являются хеджирующими, при условии, что сделки с такими товарами являются основной деятельностью; прибыль от операций с иностранной валютой (положительные или отрицательные курсовые разницы); контракты, стоимость которых привязана к базовому активу (номиналу), например, деривативы (валютный СВОП, процентный СВОП, опционы и др.); выкупная сумма по договору страхования или сумма займа, обеспеченная договором страхования; суммы, полученные страховой компанией за счет резервов на осуществление страховой деятельности и аннуитетов.</w:t>
      </w:r>
    </w:p>
  </w:footnote>
  <w:footnote w:id="3">
    <w:p w:rsidR="00C26142" w:rsidRDefault="00C26142" w:rsidP="00421CCC">
      <w:pPr>
        <w:widowControl/>
        <w:jc w:val="both"/>
      </w:pPr>
      <w:r w:rsidRPr="00FF4C83">
        <w:rPr>
          <w:rStyle w:val="af4"/>
          <w:sz w:val="18"/>
          <w:szCs w:val="18"/>
        </w:rPr>
        <w:footnoteRef/>
      </w:r>
      <w:r w:rsidRPr="00FF4C83">
        <w:rPr>
          <w:sz w:val="18"/>
          <w:szCs w:val="18"/>
        </w:rPr>
        <w:t xml:space="preserve"> </w:t>
      </w:r>
      <w:r w:rsidRPr="00FF4C83">
        <w:rPr>
          <w:rFonts w:eastAsia="TimesNewRomanPSMT"/>
          <w:sz w:val="18"/>
          <w:szCs w:val="18"/>
        </w:rPr>
        <w:t>Под «</w:t>
      </w:r>
      <w:r w:rsidRPr="00FF4C83">
        <w:rPr>
          <w:rFonts w:eastAsia="TimesNewRomanPSMT"/>
          <w:b/>
          <w:bCs/>
          <w:sz w:val="18"/>
          <w:szCs w:val="18"/>
        </w:rPr>
        <w:t>финансовым институтом</w:t>
      </w:r>
      <w:r w:rsidRPr="00FF4C83">
        <w:rPr>
          <w:rFonts w:eastAsia="TimesNewRomanPSMT"/>
          <w:sz w:val="18"/>
          <w:szCs w:val="18"/>
        </w:rPr>
        <w:t xml:space="preserve">» в целях FATCA помимо </w:t>
      </w:r>
      <w:r w:rsidRPr="00FF4C83">
        <w:rPr>
          <w:rFonts w:eastAsia="TimesNewRomanPSMT"/>
          <w:i/>
          <w:iCs/>
          <w:sz w:val="18"/>
          <w:szCs w:val="18"/>
        </w:rPr>
        <w:t xml:space="preserve">банков </w:t>
      </w:r>
      <w:r w:rsidRPr="00FF4C83">
        <w:rPr>
          <w:rFonts w:eastAsia="TimesNewRomanPSMT"/>
          <w:sz w:val="18"/>
          <w:szCs w:val="18"/>
        </w:rPr>
        <w:t xml:space="preserve">понимается организация, удовлетворяющая одному из следующих критериев: 1) </w:t>
      </w:r>
      <w:r w:rsidRPr="00FF4C83">
        <w:rPr>
          <w:rFonts w:eastAsia="TimesNewRomanPSMT"/>
          <w:b/>
          <w:bCs/>
          <w:i/>
          <w:iCs/>
          <w:sz w:val="18"/>
          <w:szCs w:val="18"/>
        </w:rPr>
        <w:t>основная деятельность организации связана с оказанием услуг по хранению финансовых активов по поручению других лиц</w:t>
      </w:r>
      <w:r w:rsidRPr="00FF4C83">
        <w:rPr>
          <w:rFonts w:eastAsia="TimesNewRomanPSMT"/>
          <w:b/>
          <w:bCs/>
          <w:sz w:val="18"/>
          <w:szCs w:val="18"/>
        </w:rPr>
        <w:t xml:space="preserve">. </w:t>
      </w:r>
      <w:r w:rsidRPr="00FF4C83">
        <w:rPr>
          <w:rFonts w:eastAsia="TimesNewRomanPSMT"/>
          <w:sz w:val="18"/>
          <w:szCs w:val="18"/>
        </w:rPr>
        <w:t>При этом основной деятельность считается в случае, если прибыль такой организации,</w:t>
      </w:r>
      <w:r w:rsidRPr="009C450F">
        <w:rPr>
          <w:rFonts w:ascii="Calibri" w:eastAsia="TimesNewRomanPSMT" w:hAnsi="Calibri" w:cs="TimesNewRomanPSMT"/>
          <w:sz w:val="18"/>
          <w:szCs w:val="18"/>
        </w:rPr>
        <w:t xml:space="preserve"> </w:t>
      </w:r>
      <w:r w:rsidRPr="00FF4C83">
        <w:rPr>
          <w:rFonts w:eastAsia="TimesNewRomanPSMT"/>
          <w:sz w:val="18"/>
          <w:szCs w:val="18"/>
        </w:rPr>
        <w:t>получаемая от услуг по хранению финансовых активов по поручению других лиц и иных финансовых услуг, связанных с таким хранением, равна или превышает 20 % общей прибыли организации за трехлетний период, рассчитываемый на 31 декабря, предшествующего году, в котором производится подсчет; за период существования организации; 2</w:t>
      </w:r>
      <w:r w:rsidRPr="00FF4C83">
        <w:rPr>
          <w:rFonts w:eastAsia="TimesNewRomanPSMT"/>
          <w:i/>
          <w:iCs/>
          <w:sz w:val="18"/>
          <w:szCs w:val="18"/>
        </w:rPr>
        <w:t xml:space="preserve">) </w:t>
      </w:r>
      <w:r w:rsidRPr="00FF4C83">
        <w:rPr>
          <w:rFonts w:eastAsia="TimesNewRomanPSMT"/>
          <w:b/>
          <w:bCs/>
          <w:i/>
          <w:iCs/>
          <w:sz w:val="18"/>
          <w:szCs w:val="18"/>
        </w:rPr>
        <w:t>инвестиционная компания</w:t>
      </w:r>
      <w:r w:rsidRPr="00FF4C83">
        <w:rPr>
          <w:rFonts w:eastAsia="TimesNewRomanPSMT"/>
          <w:sz w:val="18"/>
          <w:szCs w:val="18"/>
        </w:rPr>
        <w:t>: а) компания, которая в интересах и по поручению Клиента осуществляет один из следующих видов деятельности в качестве основного: торговля инструментами денежного рынка (чеками, долговыми обязательствами, сберегательными сертификатами, деривативами и пр.), иностранной валютой, инструментами, основанными на курсах иностранных валют, процентных ставках и различных индексах, торговля ценными бумагами или товарными фьючерсами; оказание услуг по доверительному управлению на индивидуальной основе либо управление механизмами коллективных инвестиций; оказание иных услуг по инвестированию, администрированию или управлению денежными средствами или финансовыми активами в интересах третьих лиц</w:t>
      </w:r>
      <w:r w:rsidRPr="00FF4C83">
        <w:rPr>
          <w:rFonts w:eastAsia="TimesNewRomanPSMT"/>
          <w:i/>
          <w:iCs/>
          <w:sz w:val="18"/>
          <w:szCs w:val="18"/>
        </w:rPr>
        <w:t xml:space="preserve">; б) </w:t>
      </w:r>
      <w:r w:rsidRPr="00FF4C83">
        <w:rPr>
          <w:rFonts w:eastAsia="TimesNewRomanPSMT"/>
          <w:sz w:val="18"/>
          <w:szCs w:val="18"/>
        </w:rPr>
        <w:t xml:space="preserve">компания, основной частью выручки которой является выручка от инвестирования, реинвестирования или торговля финансовыми активами, и такая компания управляется другой компанией, которая является банком, депозитарием, страховой или холдинговой компанией или компанией, описанной в п. а) выше. При этом компания считается находящейся под управлением другой компании, если последняя напрямую или через третье лицо осуществляет в отношении управляемой компании деятельность, описанную в п. а) выше; в) компания, являющаяся механизмом коллективных инвестиций, паевым фондом, биржевым фондом, фондом прямых инвестиций, хедж-фондом, венчурным фондом, фондом по выкупу контрольного пакета акций за счет кредита, или другим аналогичным механизмом инвестирования, созданным с целью осуществления определенной инвестиционной стратегии по торговле, инвестированию, реинвестированию или торговле финансовыми активами; г) инвестиционные менеджеры и консультанты; 3) </w:t>
      </w:r>
      <w:r w:rsidRPr="00FF4C83">
        <w:rPr>
          <w:rFonts w:eastAsia="TimesNewRomanPSMT"/>
          <w:b/>
          <w:bCs/>
          <w:i/>
          <w:iCs/>
          <w:sz w:val="18"/>
          <w:szCs w:val="18"/>
        </w:rPr>
        <w:t xml:space="preserve">специализированная страховая компания </w:t>
      </w:r>
      <w:r w:rsidRPr="00FF4C83">
        <w:rPr>
          <w:rFonts w:eastAsia="TimesNewRomanPSMT"/>
          <w:sz w:val="18"/>
          <w:szCs w:val="18"/>
        </w:rPr>
        <w:t xml:space="preserve">(компания, входящая в холдинг), которая заключает и осуществляет выплаты в рамках одного из следующих договоров: а) договор, в соответствии с которым страховщик обязуется выплатить обусловленную договором сумму (страховую сумму) в определенном договором случае, в том числе в случае причинения вреда жизни или здоровью или договор страхования риска возникновения ответственности или договор имущественного страхования стоимостью более 50 000 долларов США; б) договор, в соответствии с которым страховщик обязуется осуществлять выплаты в течение установленного периода полностью или частично одному или нескольким лицам, а также договор, в соответствии с которым страховщик обязуется осуществлять платежи в соответствии с законом, предписанием или сложившейся практикой. </w:t>
      </w:r>
      <w:r w:rsidRPr="00FF4C83">
        <w:rPr>
          <w:rFonts w:eastAsia="TimesNewRomanPSMT"/>
          <w:b/>
          <w:bCs/>
          <w:sz w:val="18"/>
          <w:szCs w:val="18"/>
        </w:rPr>
        <w:t xml:space="preserve">Исключение: </w:t>
      </w:r>
      <w:r w:rsidRPr="00FF4C83">
        <w:rPr>
          <w:rFonts w:eastAsia="TimesNewRomanPSMT"/>
          <w:sz w:val="18"/>
          <w:szCs w:val="18"/>
        </w:rPr>
        <w:t>правительства, государственные органы, публичные международные организации, центральные банки, некоторые пенсионные фонды, иные в соответствии с положениями FATCA.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B22FF"/>
    <w:multiLevelType w:val="hybridMultilevel"/>
    <w:tmpl w:val="B90451B8"/>
    <w:lvl w:ilvl="0" w:tplc="A9C0A09C">
      <w:numFmt w:val="bullet"/>
      <w:lvlText w:val="-"/>
      <w:lvlJc w:val="left"/>
      <w:pPr>
        <w:tabs>
          <w:tab w:val="num" w:pos="170"/>
        </w:tabs>
        <w:ind w:left="170" w:hanging="17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9BE64D9"/>
    <w:multiLevelType w:val="hybridMultilevel"/>
    <w:tmpl w:val="F17011C4"/>
    <w:lvl w:ilvl="0" w:tplc="C7A8EDE4">
      <w:start w:val="1"/>
      <w:numFmt w:val="decimal"/>
      <w:lvlText w:val="%1."/>
      <w:lvlJc w:val="left"/>
      <w:pPr>
        <w:ind w:left="360" w:hanging="360"/>
      </w:pPr>
      <w:rPr>
        <w:rFonts w:cs="Times New Roman" w:hint="default"/>
        <w:b/>
        <w:sz w:val="2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15:restartNumberingAfterBreak="0">
    <w:nsid w:val="0EFF7262"/>
    <w:multiLevelType w:val="hybridMultilevel"/>
    <w:tmpl w:val="95E29938"/>
    <w:lvl w:ilvl="0" w:tplc="3C3E65CC">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FA00D3A"/>
    <w:multiLevelType w:val="hybridMultilevel"/>
    <w:tmpl w:val="D14629B6"/>
    <w:lvl w:ilvl="0" w:tplc="0ED097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FD18F0"/>
    <w:multiLevelType w:val="singleLevel"/>
    <w:tmpl w:val="A8185152"/>
    <w:lvl w:ilvl="0">
      <w:start w:val="1"/>
      <w:numFmt w:val="decimal"/>
      <w:lvlText w:val="%1."/>
      <w:legacy w:legacy="1" w:legacySpace="0" w:legacyIndent="350"/>
      <w:lvlJc w:val="left"/>
      <w:rPr>
        <w:rFonts w:ascii="Times New Roman" w:hAnsi="Times New Roman" w:cs="Times New Roman" w:hint="default"/>
      </w:rPr>
    </w:lvl>
  </w:abstractNum>
  <w:abstractNum w:abstractNumId="5" w15:restartNumberingAfterBreak="0">
    <w:nsid w:val="17A546E8"/>
    <w:multiLevelType w:val="multilevel"/>
    <w:tmpl w:val="D248A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2A2E06"/>
    <w:multiLevelType w:val="multilevel"/>
    <w:tmpl w:val="97E46A86"/>
    <w:lvl w:ilvl="0">
      <w:start w:val="1"/>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25EC12C8"/>
    <w:multiLevelType w:val="hybridMultilevel"/>
    <w:tmpl w:val="6E623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716C13"/>
    <w:multiLevelType w:val="multilevel"/>
    <w:tmpl w:val="CCA0D40A"/>
    <w:lvl w:ilvl="0">
      <w:start w:val="1"/>
      <w:numFmt w:val="bullet"/>
      <w:lvlText w:val=""/>
      <w:lvlJc w:val="left"/>
      <w:pPr>
        <w:ind w:left="360" w:hanging="360"/>
      </w:pPr>
      <w:rPr>
        <w:rFonts w:ascii="Symbol" w:hAnsi="Symbol" w:hint="default"/>
        <w:b/>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E0A641E"/>
    <w:multiLevelType w:val="hybridMultilevel"/>
    <w:tmpl w:val="40A8CC30"/>
    <w:lvl w:ilvl="0" w:tplc="D8663B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677397"/>
    <w:multiLevelType w:val="hybridMultilevel"/>
    <w:tmpl w:val="C40238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1B23AE8"/>
    <w:multiLevelType w:val="hybridMultilevel"/>
    <w:tmpl w:val="A9D603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44E5C27"/>
    <w:multiLevelType w:val="hybridMultilevel"/>
    <w:tmpl w:val="4D08A36A"/>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6604CAE"/>
    <w:multiLevelType w:val="hybridMultilevel"/>
    <w:tmpl w:val="2FD4617C"/>
    <w:lvl w:ilvl="0" w:tplc="B69640E6">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46D55FF"/>
    <w:multiLevelType w:val="hybridMultilevel"/>
    <w:tmpl w:val="14C4EB8A"/>
    <w:lvl w:ilvl="0" w:tplc="AF4C67BC">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5" w15:restartNumberingAfterBreak="0">
    <w:nsid w:val="45A5098E"/>
    <w:multiLevelType w:val="hybridMultilevel"/>
    <w:tmpl w:val="8B2E076C"/>
    <w:lvl w:ilvl="0" w:tplc="D7021438">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46F449F7"/>
    <w:multiLevelType w:val="hybridMultilevel"/>
    <w:tmpl w:val="6C84A3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7FE1E52"/>
    <w:multiLevelType w:val="multilevel"/>
    <w:tmpl w:val="CF4AD46E"/>
    <w:lvl w:ilvl="0">
      <w:start w:val="1"/>
      <w:numFmt w:val="bullet"/>
      <w:lvlText w:val=""/>
      <w:lvlJc w:val="left"/>
      <w:pPr>
        <w:ind w:left="1080" w:hanging="360"/>
      </w:pPr>
      <w:rPr>
        <w:rFonts w:ascii="Symbol" w:hAnsi="Symbol" w:hint="default"/>
        <w:b/>
      </w:rPr>
    </w:lvl>
    <w:lvl w:ilvl="1">
      <w:start w:val="1"/>
      <w:numFmt w:val="decimal"/>
      <w:lvlText w:val="%1.%2."/>
      <w:lvlJc w:val="left"/>
      <w:pPr>
        <w:ind w:left="108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44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800" w:hanging="1080"/>
      </w:pPr>
      <w:rPr>
        <w:rFonts w:cs="Times New Roman" w:hint="default"/>
      </w:rPr>
    </w:lvl>
    <w:lvl w:ilvl="6">
      <w:start w:val="1"/>
      <w:numFmt w:val="decimal"/>
      <w:lvlText w:val="%1.%2.%3.%4.%5.%6.%7."/>
      <w:lvlJc w:val="left"/>
      <w:pPr>
        <w:ind w:left="2160" w:hanging="1440"/>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520" w:hanging="1800"/>
      </w:pPr>
      <w:rPr>
        <w:rFonts w:cs="Times New Roman" w:hint="default"/>
      </w:rPr>
    </w:lvl>
  </w:abstractNum>
  <w:abstractNum w:abstractNumId="18" w15:restartNumberingAfterBreak="0">
    <w:nsid w:val="4AC47946"/>
    <w:multiLevelType w:val="hybridMultilevel"/>
    <w:tmpl w:val="D42402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556845B1"/>
    <w:multiLevelType w:val="singleLevel"/>
    <w:tmpl w:val="DA44FAF2"/>
    <w:lvl w:ilvl="0">
      <w:start w:val="7"/>
      <w:numFmt w:val="decimal"/>
      <w:lvlText w:val="%1."/>
      <w:legacy w:legacy="1" w:legacySpace="0" w:legacyIndent="341"/>
      <w:lvlJc w:val="left"/>
      <w:rPr>
        <w:rFonts w:ascii="Times New Roman" w:hAnsi="Times New Roman" w:cs="Times New Roman" w:hint="default"/>
      </w:rPr>
    </w:lvl>
  </w:abstractNum>
  <w:abstractNum w:abstractNumId="20" w15:restartNumberingAfterBreak="0">
    <w:nsid w:val="569B4F22"/>
    <w:multiLevelType w:val="hybridMultilevel"/>
    <w:tmpl w:val="E46E07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573845E0"/>
    <w:multiLevelType w:val="multilevel"/>
    <w:tmpl w:val="C96A9F5E"/>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5AD86B18"/>
    <w:multiLevelType w:val="singleLevel"/>
    <w:tmpl w:val="94040AC2"/>
    <w:lvl w:ilvl="0">
      <w:start w:val="1"/>
      <w:numFmt w:val="decimal"/>
      <w:lvlText w:val="%1."/>
      <w:legacy w:legacy="1" w:legacySpace="0" w:legacyIndent="552"/>
      <w:lvlJc w:val="left"/>
      <w:rPr>
        <w:rFonts w:ascii="Times New Roman" w:hAnsi="Times New Roman" w:cs="Times New Roman" w:hint="default"/>
      </w:rPr>
    </w:lvl>
  </w:abstractNum>
  <w:abstractNum w:abstractNumId="23" w15:restartNumberingAfterBreak="0">
    <w:nsid w:val="5D9D1E45"/>
    <w:multiLevelType w:val="hybridMultilevel"/>
    <w:tmpl w:val="10BC638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4" w15:restartNumberingAfterBreak="0">
    <w:nsid w:val="61D0286F"/>
    <w:multiLevelType w:val="singleLevel"/>
    <w:tmpl w:val="D8249A94"/>
    <w:lvl w:ilvl="0">
      <w:start w:val="1"/>
      <w:numFmt w:val="decimal"/>
      <w:lvlText w:val="%1."/>
      <w:legacy w:legacy="1" w:legacySpace="0" w:legacyIndent="341"/>
      <w:lvlJc w:val="left"/>
      <w:rPr>
        <w:rFonts w:ascii="Times New Roman" w:hAnsi="Times New Roman" w:cs="Times New Roman" w:hint="default"/>
      </w:rPr>
    </w:lvl>
  </w:abstractNum>
  <w:abstractNum w:abstractNumId="25" w15:restartNumberingAfterBreak="0">
    <w:nsid w:val="66E64646"/>
    <w:multiLevelType w:val="hybridMultilevel"/>
    <w:tmpl w:val="3BD00360"/>
    <w:lvl w:ilvl="0" w:tplc="0ED097E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6A2029AD"/>
    <w:multiLevelType w:val="hybridMultilevel"/>
    <w:tmpl w:val="4E06BD8A"/>
    <w:lvl w:ilvl="0" w:tplc="0ED097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9426F0"/>
    <w:multiLevelType w:val="hybridMultilevel"/>
    <w:tmpl w:val="0B76F496"/>
    <w:lvl w:ilvl="0" w:tplc="2B269BA0">
      <w:numFmt w:val="bullet"/>
      <w:suff w:val="space"/>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74A54180"/>
    <w:multiLevelType w:val="hybridMultilevel"/>
    <w:tmpl w:val="3FB2F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8E250B6"/>
    <w:multiLevelType w:val="multilevel"/>
    <w:tmpl w:val="71F8C05C"/>
    <w:lvl w:ilvl="0">
      <w:start w:val="3"/>
      <w:numFmt w:val="decimal"/>
      <w:lvlText w:val="%1"/>
      <w:lvlJc w:val="left"/>
      <w:pPr>
        <w:ind w:left="360" w:hanging="360"/>
      </w:pPr>
      <w:rPr>
        <w:rFonts w:eastAsia="TimesNewRomanPSMT" w:cs="Times New Roman" w:hint="default"/>
      </w:rPr>
    </w:lvl>
    <w:lvl w:ilvl="1">
      <w:start w:val="2"/>
      <w:numFmt w:val="decimal"/>
      <w:lvlText w:val="%1.%2"/>
      <w:lvlJc w:val="left"/>
      <w:pPr>
        <w:ind w:left="360" w:hanging="360"/>
      </w:pPr>
      <w:rPr>
        <w:rFonts w:eastAsia="TimesNewRomanPSMT" w:cs="Times New Roman" w:hint="default"/>
      </w:rPr>
    </w:lvl>
    <w:lvl w:ilvl="2">
      <w:start w:val="1"/>
      <w:numFmt w:val="decimal"/>
      <w:lvlText w:val="%1.%2.%3"/>
      <w:lvlJc w:val="left"/>
      <w:pPr>
        <w:ind w:left="720" w:hanging="720"/>
      </w:pPr>
      <w:rPr>
        <w:rFonts w:eastAsia="TimesNewRomanPSMT" w:cs="Times New Roman" w:hint="default"/>
      </w:rPr>
    </w:lvl>
    <w:lvl w:ilvl="3">
      <w:start w:val="1"/>
      <w:numFmt w:val="decimal"/>
      <w:lvlText w:val="%1.%2.%3.%4"/>
      <w:lvlJc w:val="left"/>
      <w:pPr>
        <w:ind w:left="720" w:hanging="720"/>
      </w:pPr>
      <w:rPr>
        <w:rFonts w:eastAsia="TimesNewRomanPSMT" w:cs="Times New Roman" w:hint="default"/>
      </w:rPr>
    </w:lvl>
    <w:lvl w:ilvl="4">
      <w:start w:val="1"/>
      <w:numFmt w:val="decimal"/>
      <w:lvlText w:val="%1.%2.%3.%4.%5"/>
      <w:lvlJc w:val="left"/>
      <w:pPr>
        <w:ind w:left="1080" w:hanging="1080"/>
      </w:pPr>
      <w:rPr>
        <w:rFonts w:eastAsia="TimesNewRomanPSMT" w:cs="Times New Roman" w:hint="default"/>
      </w:rPr>
    </w:lvl>
    <w:lvl w:ilvl="5">
      <w:start w:val="1"/>
      <w:numFmt w:val="decimal"/>
      <w:lvlText w:val="%1.%2.%3.%4.%5.%6"/>
      <w:lvlJc w:val="left"/>
      <w:pPr>
        <w:ind w:left="1080" w:hanging="1080"/>
      </w:pPr>
      <w:rPr>
        <w:rFonts w:eastAsia="TimesNewRomanPSMT" w:cs="Times New Roman" w:hint="default"/>
      </w:rPr>
    </w:lvl>
    <w:lvl w:ilvl="6">
      <w:start w:val="1"/>
      <w:numFmt w:val="decimal"/>
      <w:lvlText w:val="%1.%2.%3.%4.%5.%6.%7"/>
      <w:lvlJc w:val="left"/>
      <w:pPr>
        <w:ind w:left="1440" w:hanging="1440"/>
      </w:pPr>
      <w:rPr>
        <w:rFonts w:eastAsia="TimesNewRomanPSMT" w:cs="Times New Roman" w:hint="default"/>
      </w:rPr>
    </w:lvl>
    <w:lvl w:ilvl="7">
      <w:start w:val="1"/>
      <w:numFmt w:val="decimal"/>
      <w:lvlText w:val="%1.%2.%3.%4.%5.%6.%7.%8"/>
      <w:lvlJc w:val="left"/>
      <w:pPr>
        <w:ind w:left="1440" w:hanging="1440"/>
      </w:pPr>
      <w:rPr>
        <w:rFonts w:eastAsia="TimesNewRomanPSMT" w:cs="Times New Roman" w:hint="default"/>
      </w:rPr>
    </w:lvl>
    <w:lvl w:ilvl="8">
      <w:start w:val="1"/>
      <w:numFmt w:val="decimal"/>
      <w:lvlText w:val="%1.%2.%3.%4.%5.%6.%7.%8.%9"/>
      <w:lvlJc w:val="left"/>
      <w:pPr>
        <w:ind w:left="1440" w:hanging="1440"/>
      </w:pPr>
      <w:rPr>
        <w:rFonts w:eastAsia="TimesNewRomanPSMT" w:cs="Times New Roman" w:hint="default"/>
      </w:rPr>
    </w:lvl>
  </w:abstractNum>
  <w:abstractNum w:abstractNumId="30" w15:restartNumberingAfterBreak="0">
    <w:nsid w:val="7C9355DB"/>
    <w:multiLevelType w:val="hybridMultilevel"/>
    <w:tmpl w:val="E24898D0"/>
    <w:lvl w:ilvl="0" w:tplc="415248C4">
      <w:start w:val="1"/>
      <w:numFmt w:val="bullet"/>
      <w:lvlText w:val="·"/>
      <w:lvlJc w:val="left"/>
      <w:pPr>
        <w:tabs>
          <w:tab w:val="num" w:pos="720"/>
        </w:tabs>
        <w:ind w:left="720" w:hanging="360"/>
      </w:pPr>
      <w:rPr>
        <w:rFonts w:ascii="Courier New" w:hAnsi="Courier New"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4"/>
  </w:num>
  <w:num w:numId="3">
    <w:abstractNumId w:val="24"/>
    <w:lvlOverride w:ilvl="0">
      <w:lvl w:ilvl="0">
        <w:start w:val="1"/>
        <w:numFmt w:val="decimal"/>
        <w:lvlText w:val="%1."/>
        <w:legacy w:legacy="1" w:legacySpace="0" w:legacyIndent="340"/>
        <w:lvlJc w:val="left"/>
        <w:rPr>
          <w:rFonts w:ascii="Times New Roman" w:hAnsi="Times New Roman" w:cs="Times New Roman" w:hint="default"/>
        </w:rPr>
      </w:lvl>
    </w:lvlOverride>
  </w:num>
  <w:num w:numId="4">
    <w:abstractNumId w:val="19"/>
  </w:num>
  <w:num w:numId="5">
    <w:abstractNumId w:val="22"/>
  </w:num>
  <w:num w:numId="6">
    <w:abstractNumId w:val="26"/>
  </w:num>
  <w:num w:numId="7">
    <w:abstractNumId w:val="6"/>
  </w:num>
  <w:num w:numId="8">
    <w:abstractNumId w:val="3"/>
  </w:num>
  <w:num w:numId="9">
    <w:abstractNumId w:val="25"/>
  </w:num>
  <w:num w:numId="10">
    <w:abstractNumId w:val="8"/>
  </w:num>
  <w:num w:numId="11">
    <w:abstractNumId w:val="17"/>
  </w:num>
  <w:num w:numId="12">
    <w:abstractNumId w:val="5"/>
  </w:num>
  <w:num w:numId="13">
    <w:abstractNumId w:val="21"/>
  </w:num>
  <w:num w:numId="14">
    <w:abstractNumId w:val="30"/>
  </w:num>
  <w:num w:numId="15">
    <w:abstractNumId w:val="2"/>
  </w:num>
  <w:num w:numId="16">
    <w:abstractNumId w:val="16"/>
  </w:num>
  <w:num w:numId="17">
    <w:abstractNumId w:val="23"/>
  </w:num>
  <w:num w:numId="18">
    <w:abstractNumId w:val="1"/>
  </w:num>
  <w:num w:numId="19">
    <w:abstractNumId w:val="11"/>
  </w:num>
  <w:num w:numId="20">
    <w:abstractNumId w:val="10"/>
  </w:num>
  <w:num w:numId="21">
    <w:abstractNumId w:val="20"/>
  </w:num>
  <w:num w:numId="22">
    <w:abstractNumId w:val="14"/>
  </w:num>
  <w:num w:numId="23">
    <w:abstractNumId w:val="13"/>
  </w:num>
  <w:num w:numId="24">
    <w:abstractNumId w:val="18"/>
  </w:num>
  <w:num w:numId="25">
    <w:abstractNumId w:val="28"/>
  </w:num>
  <w:num w:numId="26">
    <w:abstractNumId w:val="15"/>
  </w:num>
  <w:num w:numId="27">
    <w:abstractNumId w:val="27"/>
  </w:num>
  <w:num w:numId="28">
    <w:abstractNumId w:val="0"/>
  </w:num>
  <w:num w:numId="29">
    <w:abstractNumId w:val="7"/>
  </w:num>
  <w:num w:numId="30">
    <w:abstractNumId w:val="12"/>
  </w:num>
  <w:num w:numId="31">
    <w:abstractNumId w:val="29"/>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DCD"/>
    <w:rsid w:val="000129BB"/>
    <w:rsid w:val="00025D5D"/>
    <w:rsid w:val="0006798A"/>
    <w:rsid w:val="0009214E"/>
    <w:rsid w:val="000A2B2E"/>
    <w:rsid w:val="000B5403"/>
    <w:rsid w:val="000E1600"/>
    <w:rsid w:val="000E3EE8"/>
    <w:rsid w:val="00104B64"/>
    <w:rsid w:val="001120CF"/>
    <w:rsid w:val="00122B78"/>
    <w:rsid w:val="00140C7D"/>
    <w:rsid w:val="001542B1"/>
    <w:rsid w:val="001548DE"/>
    <w:rsid w:val="001701CE"/>
    <w:rsid w:val="001720BC"/>
    <w:rsid w:val="00174E64"/>
    <w:rsid w:val="00180AE2"/>
    <w:rsid w:val="00182437"/>
    <w:rsid w:val="0018253B"/>
    <w:rsid w:val="00191CF4"/>
    <w:rsid w:val="00195277"/>
    <w:rsid w:val="001A3434"/>
    <w:rsid w:val="001B09E0"/>
    <w:rsid w:val="001E426A"/>
    <w:rsid w:val="001E43C2"/>
    <w:rsid w:val="001F11DF"/>
    <w:rsid w:val="001F2B62"/>
    <w:rsid w:val="001F2D57"/>
    <w:rsid w:val="001F3605"/>
    <w:rsid w:val="001F7755"/>
    <w:rsid w:val="00201C43"/>
    <w:rsid w:val="00216EAA"/>
    <w:rsid w:val="002173D9"/>
    <w:rsid w:val="002202ED"/>
    <w:rsid w:val="00224135"/>
    <w:rsid w:val="00224DEA"/>
    <w:rsid w:val="00224E52"/>
    <w:rsid w:val="00226BDA"/>
    <w:rsid w:val="002334D8"/>
    <w:rsid w:val="002438A6"/>
    <w:rsid w:val="00257E42"/>
    <w:rsid w:val="0026410B"/>
    <w:rsid w:val="002649E7"/>
    <w:rsid w:val="0028179D"/>
    <w:rsid w:val="00292BE2"/>
    <w:rsid w:val="002A0E4D"/>
    <w:rsid w:val="002A7BBA"/>
    <w:rsid w:val="002D63C4"/>
    <w:rsid w:val="002D7AF9"/>
    <w:rsid w:val="002E242E"/>
    <w:rsid w:val="002F3C70"/>
    <w:rsid w:val="00300364"/>
    <w:rsid w:val="003058E9"/>
    <w:rsid w:val="00310375"/>
    <w:rsid w:val="003176C8"/>
    <w:rsid w:val="00320F2B"/>
    <w:rsid w:val="0033617B"/>
    <w:rsid w:val="00342346"/>
    <w:rsid w:val="00345329"/>
    <w:rsid w:val="00356FB4"/>
    <w:rsid w:val="00357C09"/>
    <w:rsid w:val="00381A04"/>
    <w:rsid w:val="003B0D8F"/>
    <w:rsid w:val="003C15FA"/>
    <w:rsid w:val="003C375E"/>
    <w:rsid w:val="003C5C63"/>
    <w:rsid w:val="003C7AFF"/>
    <w:rsid w:val="003D2F1C"/>
    <w:rsid w:val="00401C1E"/>
    <w:rsid w:val="004078D4"/>
    <w:rsid w:val="00407C68"/>
    <w:rsid w:val="00413ADF"/>
    <w:rsid w:val="00416C12"/>
    <w:rsid w:val="00421CCC"/>
    <w:rsid w:val="004267C8"/>
    <w:rsid w:val="00442C22"/>
    <w:rsid w:val="0044744D"/>
    <w:rsid w:val="00451CDA"/>
    <w:rsid w:val="00455023"/>
    <w:rsid w:val="004668BB"/>
    <w:rsid w:val="00482643"/>
    <w:rsid w:val="004867BB"/>
    <w:rsid w:val="00493DBD"/>
    <w:rsid w:val="004A0FF3"/>
    <w:rsid w:val="004B600B"/>
    <w:rsid w:val="004C0EE8"/>
    <w:rsid w:val="004D4EA0"/>
    <w:rsid w:val="004E2170"/>
    <w:rsid w:val="004E3D35"/>
    <w:rsid w:val="004E74BE"/>
    <w:rsid w:val="004F4B3E"/>
    <w:rsid w:val="004F543D"/>
    <w:rsid w:val="004F6D8A"/>
    <w:rsid w:val="004F704B"/>
    <w:rsid w:val="0051423D"/>
    <w:rsid w:val="0052099A"/>
    <w:rsid w:val="005249CD"/>
    <w:rsid w:val="0052631D"/>
    <w:rsid w:val="00526640"/>
    <w:rsid w:val="005415EE"/>
    <w:rsid w:val="0054345E"/>
    <w:rsid w:val="00544C28"/>
    <w:rsid w:val="00547332"/>
    <w:rsid w:val="00561352"/>
    <w:rsid w:val="00563B70"/>
    <w:rsid w:val="00564AD4"/>
    <w:rsid w:val="0058369A"/>
    <w:rsid w:val="00587B59"/>
    <w:rsid w:val="00595991"/>
    <w:rsid w:val="005961F4"/>
    <w:rsid w:val="005A3621"/>
    <w:rsid w:val="005A39D9"/>
    <w:rsid w:val="005A7903"/>
    <w:rsid w:val="005B3D5F"/>
    <w:rsid w:val="005D0E97"/>
    <w:rsid w:val="005D3055"/>
    <w:rsid w:val="005D4D87"/>
    <w:rsid w:val="005E4273"/>
    <w:rsid w:val="005E5677"/>
    <w:rsid w:val="00617B4F"/>
    <w:rsid w:val="006252F8"/>
    <w:rsid w:val="00627228"/>
    <w:rsid w:val="00634267"/>
    <w:rsid w:val="0064556C"/>
    <w:rsid w:val="00651F0D"/>
    <w:rsid w:val="006533D2"/>
    <w:rsid w:val="00663E4A"/>
    <w:rsid w:val="00671FEA"/>
    <w:rsid w:val="00680727"/>
    <w:rsid w:val="00684F62"/>
    <w:rsid w:val="00694F82"/>
    <w:rsid w:val="0069613F"/>
    <w:rsid w:val="006E253E"/>
    <w:rsid w:val="006F2D2F"/>
    <w:rsid w:val="006F6340"/>
    <w:rsid w:val="00720E35"/>
    <w:rsid w:val="007222B8"/>
    <w:rsid w:val="007239C8"/>
    <w:rsid w:val="00723F40"/>
    <w:rsid w:val="0073704D"/>
    <w:rsid w:val="00744882"/>
    <w:rsid w:val="00745739"/>
    <w:rsid w:val="00751FEC"/>
    <w:rsid w:val="00767989"/>
    <w:rsid w:val="007936BA"/>
    <w:rsid w:val="007959B1"/>
    <w:rsid w:val="007A1636"/>
    <w:rsid w:val="007A53C8"/>
    <w:rsid w:val="007A7B88"/>
    <w:rsid w:val="007B23F0"/>
    <w:rsid w:val="007B381D"/>
    <w:rsid w:val="007B646A"/>
    <w:rsid w:val="007C1184"/>
    <w:rsid w:val="0083675D"/>
    <w:rsid w:val="00846C4E"/>
    <w:rsid w:val="00847162"/>
    <w:rsid w:val="00856F8F"/>
    <w:rsid w:val="00857273"/>
    <w:rsid w:val="0086197F"/>
    <w:rsid w:val="008647E2"/>
    <w:rsid w:val="00872662"/>
    <w:rsid w:val="008914F1"/>
    <w:rsid w:val="00894B17"/>
    <w:rsid w:val="008969A5"/>
    <w:rsid w:val="008A7277"/>
    <w:rsid w:val="008B233F"/>
    <w:rsid w:val="008B2940"/>
    <w:rsid w:val="008C4786"/>
    <w:rsid w:val="008C5148"/>
    <w:rsid w:val="008F2034"/>
    <w:rsid w:val="00905199"/>
    <w:rsid w:val="00914F47"/>
    <w:rsid w:val="00924BA1"/>
    <w:rsid w:val="0093424F"/>
    <w:rsid w:val="0095131A"/>
    <w:rsid w:val="0096418A"/>
    <w:rsid w:val="00964C16"/>
    <w:rsid w:val="00967435"/>
    <w:rsid w:val="00971313"/>
    <w:rsid w:val="009822B8"/>
    <w:rsid w:val="00986A30"/>
    <w:rsid w:val="00987A64"/>
    <w:rsid w:val="009959F5"/>
    <w:rsid w:val="00997689"/>
    <w:rsid w:val="009977F5"/>
    <w:rsid w:val="009A43ED"/>
    <w:rsid w:val="009B0084"/>
    <w:rsid w:val="009C3744"/>
    <w:rsid w:val="009C450F"/>
    <w:rsid w:val="009D0BB6"/>
    <w:rsid w:val="009D37AF"/>
    <w:rsid w:val="009D7D06"/>
    <w:rsid w:val="00A17F95"/>
    <w:rsid w:val="00A40609"/>
    <w:rsid w:val="00A5108C"/>
    <w:rsid w:val="00A665EA"/>
    <w:rsid w:val="00A71154"/>
    <w:rsid w:val="00A81CA9"/>
    <w:rsid w:val="00A933C2"/>
    <w:rsid w:val="00A95B95"/>
    <w:rsid w:val="00AC084F"/>
    <w:rsid w:val="00AC14B9"/>
    <w:rsid w:val="00AC17C8"/>
    <w:rsid w:val="00AC1934"/>
    <w:rsid w:val="00AC64AA"/>
    <w:rsid w:val="00AD49BC"/>
    <w:rsid w:val="00AD4ED6"/>
    <w:rsid w:val="00AD7DE9"/>
    <w:rsid w:val="00AE507A"/>
    <w:rsid w:val="00AF1205"/>
    <w:rsid w:val="00AF3DCD"/>
    <w:rsid w:val="00B1187F"/>
    <w:rsid w:val="00B11977"/>
    <w:rsid w:val="00B21BFF"/>
    <w:rsid w:val="00B273F5"/>
    <w:rsid w:val="00B3087A"/>
    <w:rsid w:val="00B53063"/>
    <w:rsid w:val="00B628FA"/>
    <w:rsid w:val="00B6291F"/>
    <w:rsid w:val="00B82226"/>
    <w:rsid w:val="00B852C9"/>
    <w:rsid w:val="00B8767E"/>
    <w:rsid w:val="00B973A0"/>
    <w:rsid w:val="00BA19B5"/>
    <w:rsid w:val="00BA418D"/>
    <w:rsid w:val="00BB2D83"/>
    <w:rsid w:val="00BB347D"/>
    <w:rsid w:val="00BB3931"/>
    <w:rsid w:val="00BB603F"/>
    <w:rsid w:val="00BC4215"/>
    <w:rsid w:val="00BD1889"/>
    <w:rsid w:val="00BD3B80"/>
    <w:rsid w:val="00BD5C3D"/>
    <w:rsid w:val="00BE6616"/>
    <w:rsid w:val="00BF59CB"/>
    <w:rsid w:val="00C057E3"/>
    <w:rsid w:val="00C07B8E"/>
    <w:rsid w:val="00C16E86"/>
    <w:rsid w:val="00C26142"/>
    <w:rsid w:val="00C407FF"/>
    <w:rsid w:val="00C41818"/>
    <w:rsid w:val="00C531B9"/>
    <w:rsid w:val="00C77B69"/>
    <w:rsid w:val="00C86B7B"/>
    <w:rsid w:val="00C873D3"/>
    <w:rsid w:val="00CA6049"/>
    <w:rsid w:val="00CB0A1D"/>
    <w:rsid w:val="00CB592E"/>
    <w:rsid w:val="00CB5D47"/>
    <w:rsid w:val="00CB6D07"/>
    <w:rsid w:val="00CC6589"/>
    <w:rsid w:val="00CC6D66"/>
    <w:rsid w:val="00CD4BE3"/>
    <w:rsid w:val="00CD7D09"/>
    <w:rsid w:val="00CE54DD"/>
    <w:rsid w:val="00CF41AD"/>
    <w:rsid w:val="00CF79EC"/>
    <w:rsid w:val="00D069D2"/>
    <w:rsid w:val="00D14F7E"/>
    <w:rsid w:val="00D23E31"/>
    <w:rsid w:val="00D262B0"/>
    <w:rsid w:val="00D335E7"/>
    <w:rsid w:val="00D41C39"/>
    <w:rsid w:val="00D466F1"/>
    <w:rsid w:val="00D538D2"/>
    <w:rsid w:val="00D60E85"/>
    <w:rsid w:val="00D65977"/>
    <w:rsid w:val="00D7102E"/>
    <w:rsid w:val="00D8150C"/>
    <w:rsid w:val="00D81A49"/>
    <w:rsid w:val="00DB3E37"/>
    <w:rsid w:val="00DB5759"/>
    <w:rsid w:val="00DB6DE5"/>
    <w:rsid w:val="00DC1A37"/>
    <w:rsid w:val="00DD556C"/>
    <w:rsid w:val="00DE410D"/>
    <w:rsid w:val="00DF627F"/>
    <w:rsid w:val="00E12D3B"/>
    <w:rsid w:val="00E2747C"/>
    <w:rsid w:val="00E46B37"/>
    <w:rsid w:val="00E77603"/>
    <w:rsid w:val="00E81923"/>
    <w:rsid w:val="00E852A9"/>
    <w:rsid w:val="00E9391B"/>
    <w:rsid w:val="00E970C7"/>
    <w:rsid w:val="00EE1D3B"/>
    <w:rsid w:val="00EF4735"/>
    <w:rsid w:val="00EF596D"/>
    <w:rsid w:val="00F1396E"/>
    <w:rsid w:val="00F13CE7"/>
    <w:rsid w:val="00F31151"/>
    <w:rsid w:val="00F33FDA"/>
    <w:rsid w:val="00F340E7"/>
    <w:rsid w:val="00F46454"/>
    <w:rsid w:val="00F47FA4"/>
    <w:rsid w:val="00F577DE"/>
    <w:rsid w:val="00F67C80"/>
    <w:rsid w:val="00F742C5"/>
    <w:rsid w:val="00F75535"/>
    <w:rsid w:val="00F816CB"/>
    <w:rsid w:val="00FA24DF"/>
    <w:rsid w:val="00FC24AC"/>
    <w:rsid w:val="00FC4D76"/>
    <w:rsid w:val="00FD36C1"/>
    <w:rsid w:val="00FD7B4D"/>
    <w:rsid w:val="00FE0641"/>
    <w:rsid w:val="00FE3978"/>
    <w:rsid w:val="00FF2D0F"/>
    <w:rsid w:val="00FF4C2C"/>
    <w:rsid w:val="00FF4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7A96849-E918-4346-A276-47A59213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sz w:val="24"/>
      <w:szCs w:val="24"/>
    </w:rPr>
  </w:style>
  <w:style w:type="paragraph" w:styleId="1">
    <w:name w:val="heading 1"/>
    <w:basedOn w:val="a"/>
    <w:next w:val="a"/>
    <w:link w:val="10"/>
    <w:uiPriority w:val="99"/>
    <w:qFormat/>
    <w:rsid w:val="0096418A"/>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6418A"/>
    <w:rPr>
      <w:rFonts w:ascii="Cambria" w:hAnsi="Cambria" w:cs="Times New Roman"/>
      <w:b/>
      <w:kern w:val="32"/>
      <w:sz w:val="32"/>
    </w:rPr>
  </w:style>
  <w:style w:type="paragraph" w:customStyle="1" w:styleId="Style1">
    <w:name w:val="Style1"/>
    <w:basedOn w:val="a"/>
    <w:uiPriority w:val="99"/>
  </w:style>
  <w:style w:type="paragraph" w:customStyle="1" w:styleId="Style2">
    <w:name w:val="Style2"/>
    <w:basedOn w:val="a"/>
    <w:uiPriority w:val="99"/>
  </w:style>
  <w:style w:type="paragraph" w:customStyle="1" w:styleId="Style3">
    <w:name w:val="Style3"/>
    <w:basedOn w:val="a"/>
    <w:uiPriority w:val="99"/>
    <w:pPr>
      <w:spacing w:line="317" w:lineRule="exact"/>
      <w:jc w:val="center"/>
    </w:pPr>
  </w:style>
  <w:style w:type="paragraph" w:customStyle="1" w:styleId="Style4">
    <w:name w:val="Style4"/>
    <w:basedOn w:val="a"/>
    <w:uiPriority w:val="99"/>
    <w:pPr>
      <w:spacing w:line="274" w:lineRule="exact"/>
      <w:ind w:firstLine="442"/>
    </w:pPr>
  </w:style>
  <w:style w:type="paragraph" w:customStyle="1" w:styleId="Style5">
    <w:name w:val="Style5"/>
    <w:basedOn w:val="a"/>
    <w:uiPriority w:val="99"/>
    <w:pPr>
      <w:jc w:val="both"/>
    </w:pPr>
  </w:style>
  <w:style w:type="paragraph" w:customStyle="1" w:styleId="Style6">
    <w:name w:val="Style6"/>
    <w:basedOn w:val="a"/>
    <w:uiPriority w:val="99"/>
    <w:pPr>
      <w:jc w:val="both"/>
    </w:pPr>
  </w:style>
  <w:style w:type="paragraph" w:customStyle="1" w:styleId="Style7">
    <w:name w:val="Style7"/>
    <w:basedOn w:val="a"/>
    <w:uiPriority w:val="99"/>
  </w:style>
  <w:style w:type="paragraph" w:customStyle="1" w:styleId="Style8">
    <w:name w:val="Style8"/>
    <w:basedOn w:val="a"/>
    <w:uiPriority w:val="99"/>
  </w:style>
  <w:style w:type="paragraph" w:customStyle="1" w:styleId="Style9">
    <w:name w:val="Style9"/>
    <w:basedOn w:val="a"/>
    <w:uiPriority w:val="99"/>
  </w:style>
  <w:style w:type="paragraph" w:customStyle="1" w:styleId="Style10">
    <w:name w:val="Style10"/>
    <w:basedOn w:val="a"/>
    <w:uiPriority w:val="99"/>
    <w:pPr>
      <w:spacing w:line="235" w:lineRule="exact"/>
      <w:jc w:val="both"/>
    </w:pPr>
  </w:style>
  <w:style w:type="paragraph" w:customStyle="1" w:styleId="Style11">
    <w:name w:val="Style11"/>
    <w:basedOn w:val="a"/>
    <w:uiPriority w:val="99"/>
    <w:pPr>
      <w:spacing w:line="278" w:lineRule="exact"/>
      <w:jc w:val="both"/>
    </w:pPr>
  </w:style>
  <w:style w:type="paragraph" w:customStyle="1" w:styleId="Style12">
    <w:name w:val="Style12"/>
    <w:basedOn w:val="a"/>
    <w:uiPriority w:val="99"/>
    <w:pPr>
      <w:jc w:val="both"/>
    </w:pPr>
  </w:style>
  <w:style w:type="paragraph" w:customStyle="1" w:styleId="Style13">
    <w:name w:val="Style13"/>
    <w:basedOn w:val="a"/>
    <w:uiPriority w:val="99"/>
  </w:style>
  <w:style w:type="paragraph" w:customStyle="1" w:styleId="Style14">
    <w:name w:val="Style14"/>
    <w:basedOn w:val="a"/>
    <w:uiPriority w:val="99"/>
    <w:pPr>
      <w:spacing w:line="274" w:lineRule="exact"/>
      <w:ind w:hanging="350"/>
    </w:pPr>
  </w:style>
  <w:style w:type="paragraph" w:customStyle="1" w:styleId="Style15">
    <w:name w:val="Style15"/>
    <w:basedOn w:val="a"/>
    <w:uiPriority w:val="99"/>
    <w:pPr>
      <w:spacing w:line="274" w:lineRule="exact"/>
      <w:ind w:hanging="350"/>
    </w:pPr>
  </w:style>
  <w:style w:type="paragraph" w:customStyle="1" w:styleId="Style16">
    <w:name w:val="Style16"/>
    <w:basedOn w:val="a"/>
    <w:uiPriority w:val="99"/>
  </w:style>
  <w:style w:type="paragraph" w:customStyle="1" w:styleId="Style17">
    <w:name w:val="Style17"/>
    <w:basedOn w:val="a"/>
    <w:uiPriority w:val="99"/>
    <w:pPr>
      <w:jc w:val="both"/>
    </w:pPr>
  </w:style>
  <w:style w:type="paragraph" w:customStyle="1" w:styleId="Style18">
    <w:name w:val="Style18"/>
    <w:basedOn w:val="a"/>
    <w:uiPriority w:val="99"/>
    <w:pPr>
      <w:spacing w:line="276" w:lineRule="exact"/>
      <w:ind w:firstLine="538"/>
      <w:jc w:val="both"/>
    </w:pPr>
  </w:style>
  <w:style w:type="paragraph" w:customStyle="1" w:styleId="Style19">
    <w:name w:val="Style19"/>
    <w:basedOn w:val="a"/>
    <w:uiPriority w:val="99"/>
    <w:pPr>
      <w:spacing w:line="278" w:lineRule="exact"/>
      <w:ind w:hanging="91"/>
      <w:jc w:val="both"/>
    </w:pPr>
  </w:style>
  <w:style w:type="paragraph" w:customStyle="1" w:styleId="Style20">
    <w:name w:val="Style20"/>
    <w:basedOn w:val="a"/>
    <w:uiPriority w:val="99"/>
    <w:pPr>
      <w:spacing w:line="278" w:lineRule="exact"/>
      <w:ind w:hanging="341"/>
      <w:jc w:val="both"/>
    </w:pPr>
  </w:style>
  <w:style w:type="paragraph" w:customStyle="1" w:styleId="Style21">
    <w:name w:val="Style21"/>
    <w:basedOn w:val="a"/>
    <w:uiPriority w:val="99"/>
    <w:pPr>
      <w:spacing w:line="277" w:lineRule="exact"/>
      <w:jc w:val="both"/>
    </w:pPr>
  </w:style>
  <w:style w:type="paragraph" w:customStyle="1" w:styleId="Style22">
    <w:name w:val="Style22"/>
    <w:basedOn w:val="a"/>
    <w:uiPriority w:val="99"/>
    <w:pPr>
      <w:spacing w:line="274" w:lineRule="exact"/>
      <w:ind w:firstLine="341"/>
    </w:pPr>
  </w:style>
  <w:style w:type="paragraph" w:customStyle="1" w:styleId="Style23">
    <w:name w:val="Style23"/>
    <w:basedOn w:val="a"/>
    <w:uiPriority w:val="99"/>
    <w:pPr>
      <w:spacing w:line="269" w:lineRule="exact"/>
      <w:jc w:val="both"/>
    </w:pPr>
  </w:style>
  <w:style w:type="character" w:customStyle="1" w:styleId="FontStyle25">
    <w:name w:val="Font Style25"/>
    <w:uiPriority w:val="99"/>
    <w:rPr>
      <w:rFonts w:ascii="Times New Roman" w:hAnsi="Times New Roman"/>
      <w:b/>
      <w:spacing w:val="20"/>
      <w:sz w:val="20"/>
    </w:rPr>
  </w:style>
  <w:style w:type="character" w:customStyle="1" w:styleId="FontStyle26">
    <w:name w:val="Font Style26"/>
    <w:uiPriority w:val="99"/>
    <w:rPr>
      <w:rFonts w:ascii="Times New Roman" w:hAnsi="Times New Roman"/>
      <w:b/>
      <w:spacing w:val="20"/>
      <w:sz w:val="20"/>
    </w:rPr>
  </w:style>
  <w:style w:type="character" w:customStyle="1" w:styleId="FontStyle27">
    <w:name w:val="Font Style27"/>
    <w:uiPriority w:val="99"/>
    <w:rPr>
      <w:rFonts w:ascii="Times New Roman" w:hAnsi="Times New Roman"/>
      <w:sz w:val="22"/>
    </w:rPr>
  </w:style>
  <w:style w:type="character" w:customStyle="1" w:styleId="FontStyle28">
    <w:name w:val="Font Style28"/>
    <w:uiPriority w:val="99"/>
    <w:rPr>
      <w:rFonts w:ascii="Times New Roman" w:hAnsi="Times New Roman"/>
      <w:b/>
      <w:sz w:val="26"/>
    </w:rPr>
  </w:style>
  <w:style w:type="character" w:customStyle="1" w:styleId="FontStyle29">
    <w:name w:val="Font Style29"/>
    <w:uiPriority w:val="99"/>
    <w:rPr>
      <w:rFonts w:ascii="Times New Roman" w:hAnsi="Times New Roman"/>
      <w:b/>
      <w:spacing w:val="10"/>
      <w:sz w:val="20"/>
    </w:rPr>
  </w:style>
  <w:style w:type="character" w:customStyle="1" w:styleId="FontStyle30">
    <w:name w:val="Font Style30"/>
    <w:uiPriority w:val="99"/>
    <w:rPr>
      <w:rFonts w:ascii="Times New Roman" w:hAnsi="Times New Roman"/>
      <w:sz w:val="20"/>
    </w:rPr>
  </w:style>
  <w:style w:type="character" w:customStyle="1" w:styleId="FontStyle31">
    <w:name w:val="Font Style31"/>
    <w:uiPriority w:val="99"/>
    <w:rPr>
      <w:rFonts w:ascii="Cambria" w:hAnsi="Cambria"/>
      <w:sz w:val="18"/>
    </w:rPr>
  </w:style>
  <w:style w:type="character" w:customStyle="1" w:styleId="FontStyle32">
    <w:name w:val="Font Style32"/>
    <w:uiPriority w:val="99"/>
    <w:rPr>
      <w:rFonts w:ascii="Times New Roman" w:hAnsi="Times New Roman"/>
      <w:sz w:val="20"/>
    </w:rPr>
  </w:style>
  <w:style w:type="character" w:customStyle="1" w:styleId="FontStyle33">
    <w:name w:val="Font Style33"/>
    <w:uiPriority w:val="99"/>
    <w:rPr>
      <w:rFonts w:ascii="Times New Roman" w:hAnsi="Times New Roman"/>
      <w:b/>
      <w:spacing w:val="10"/>
      <w:sz w:val="16"/>
    </w:rPr>
  </w:style>
  <w:style w:type="character" w:customStyle="1" w:styleId="FontStyle34">
    <w:name w:val="Font Style34"/>
    <w:uiPriority w:val="99"/>
    <w:rPr>
      <w:rFonts w:ascii="Times New Roman" w:hAnsi="Times New Roman"/>
      <w:sz w:val="18"/>
    </w:rPr>
  </w:style>
  <w:style w:type="character" w:customStyle="1" w:styleId="FontStyle35">
    <w:name w:val="Font Style35"/>
    <w:uiPriority w:val="99"/>
    <w:rPr>
      <w:rFonts w:ascii="Constantia" w:hAnsi="Constantia"/>
      <w:sz w:val="16"/>
    </w:rPr>
  </w:style>
  <w:style w:type="character" w:customStyle="1" w:styleId="FontStyle36">
    <w:name w:val="Font Style36"/>
    <w:uiPriority w:val="99"/>
    <w:rPr>
      <w:rFonts w:ascii="Times New Roman" w:hAnsi="Times New Roman"/>
      <w:sz w:val="20"/>
    </w:rPr>
  </w:style>
  <w:style w:type="character" w:customStyle="1" w:styleId="FontStyle37">
    <w:name w:val="Font Style37"/>
    <w:uiPriority w:val="99"/>
    <w:rPr>
      <w:rFonts w:ascii="Times New Roman" w:hAnsi="Times New Roman"/>
      <w:sz w:val="20"/>
    </w:rPr>
  </w:style>
  <w:style w:type="paragraph" w:styleId="a3">
    <w:name w:val="header"/>
    <w:basedOn w:val="a"/>
    <w:link w:val="a4"/>
    <w:uiPriority w:val="99"/>
    <w:rsid w:val="004F543D"/>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rPr>
  </w:style>
  <w:style w:type="paragraph" w:styleId="a5">
    <w:name w:val="footer"/>
    <w:basedOn w:val="a"/>
    <w:link w:val="a6"/>
    <w:uiPriority w:val="99"/>
    <w:rsid w:val="004F543D"/>
    <w:pPr>
      <w:tabs>
        <w:tab w:val="center" w:pos="4677"/>
        <w:tab w:val="right" w:pos="9355"/>
      </w:tabs>
    </w:pPr>
  </w:style>
  <w:style w:type="character" w:customStyle="1" w:styleId="a6">
    <w:name w:val="Нижний колонтитул Знак"/>
    <w:basedOn w:val="a0"/>
    <w:link w:val="a5"/>
    <w:uiPriority w:val="99"/>
    <w:locked/>
    <w:rPr>
      <w:rFonts w:cs="Times New Roman"/>
      <w:sz w:val="24"/>
    </w:rPr>
  </w:style>
  <w:style w:type="paragraph" w:styleId="a7">
    <w:name w:val="footnote text"/>
    <w:aliases w:val="fn,Footnote Text Char1,Footnote Text Char Char,Footnote Text Char Char1,Footnote Text Char3 Char Char,Footnote Text Char2 Char Char1 Char,Footnote Text Char Char1 Char Char1 Char,FT,Style 50,ft,FT Char Cha,SD Footnote Text,Footnote Text A"/>
    <w:basedOn w:val="a"/>
    <w:link w:val="a8"/>
    <w:uiPriority w:val="99"/>
    <w:rsid w:val="000E1600"/>
    <w:rPr>
      <w:sz w:val="20"/>
      <w:szCs w:val="20"/>
    </w:rPr>
  </w:style>
  <w:style w:type="character" w:styleId="a9">
    <w:name w:val="FollowedHyperlink"/>
    <w:basedOn w:val="a0"/>
    <w:uiPriority w:val="99"/>
    <w:semiHidden/>
    <w:rsid w:val="00671FEA"/>
    <w:rPr>
      <w:rFonts w:cs="Times New Roman"/>
      <w:color w:val="800080"/>
      <w:u w:val="single"/>
    </w:rPr>
  </w:style>
  <w:style w:type="character" w:styleId="aa">
    <w:name w:val="Book Title"/>
    <w:basedOn w:val="a0"/>
    <w:uiPriority w:val="99"/>
    <w:qFormat/>
    <w:rsid w:val="00D65977"/>
    <w:rPr>
      <w:rFonts w:cs="Times New Roman"/>
      <w:b/>
      <w:smallCaps/>
      <w:spacing w:val="5"/>
    </w:rPr>
  </w:style>
  <w:style w:type="character" w:customStyle="1" w:styleId="apple-converted-space">
    <w:name w:val="apple-converted-space"/>
    <w:uiPriority w:val="99"/>
    <w:rsid w:val="007936BA"/>
  </w:style>
  <w:style w:type="paragraph" w:styleId="ab">
    <w:name w:val="Title"/>
    <w:basedOn w:val="a"/>
    <w:link w:val="ac"/>
    <w:uiPriority w:val="99"/>
    <w:qFormat/>
    <w:rsid w:val="007936BA"/>
    <w:pPr>
      <w:widowControl/>
      <w:autoSpaceDE/>
      <w:autoSpaceDN/>
      <w:adjustRightInd/>
      <w:jc w:val="center"/>
    </w:pPr>
    <w:rPr>
      <w:sz w:val="36"/>
      <w:szCs w:val="36"/>
    </w:rPr>
  </w:style>
  <w:style w:type="character" w:customStyle="1" w:styleId="ac">
    <w:name w:val="Название Знак"/>
    <w:basedOn w:val="a0"/>
    <w:link w:val="ab"/>
    <w:uiPriority w:val="99"/>
    <w:locked/>
    <w:rsid w:val="007936BA"/>
    <w:rPr>
      <w:rFonts w:cs="Times New Roman"/>
      <w:sz w:val="36"/>
    </w:rPr>
  </w:style>
  <w:style w:type="paragraph" w:customStyle="1" w:styleId="ad">
    <w:name w:val="Стиль"/>
    <w:uiPriority w:val="99"/>
    <w:rsid w:val="009A43ED"/>
    <w:pPr>
      <w:widowControl w:val="0"/>
      <w:autoSpaceDE w:val="0"/>
      <w:autoSpaceDN w:val="0"/>
      <w:adjustRightInd w:val="0"/>
    </w:pPr>
    <w:rPr>
      <w:sz w:val="24"/>
      <w:szCs w:val="24"/>
    </w:rPr>
  </w:style>
  <w:style w:type="paragraph" w:styleId="ae">
    <w:name w:val="List Paragraph"/>
    <w:basedOn w:val="a"/>
    <w:uiPriority w:val="34"/>
    <w:qFormat/>
    <w:rsid w:val="001F7755"/>
    <w:pPr>
      <w:widowControl/>
      <w:autoSpaceDE/>
      <w:autoSpaceDN/>
      <w:adjustRightInd/>
      <w:spacing w:after="200" w:line="276" w:lineRule="auto"/>
      <w:ind w:left="720"/>
      <w:contextualSpacing/>
    </w:pPr>
    <w:rPr>
      <w:rFonts w:ascii="Calibri" w:hAnsi="Calibri"/>
      <w:sz w:val="22"/>
      <w:szCs w:val="22"/>
    </w:rPr>
  </w:style>
  <w:style w:type="character" w:customStyle="1" w:styleId="FontStyle20">
    <w:name w:val="Font Style20"/>
    <w:uiPriority w:val="99"/>
    <w:rsid w:val="000B5403"/>
    <w:rPr>
      <w:rFonts w:ascii="Times New Roman" w:hAnsi="Times New Roman"/>
      <w:sz w:val="14"/>
    </w:rPr>
  </w:style>
  <w:style w:type="paragraph" w:styleId="4">
    <w:name w:val="toc 4"/>
    <w:basedOn w:val="a"/>
    <w:next w:val="a"/>
    <w:autoRedefine/>
    <w:uiPriority w:val="99"/>
    <w:semiHidden/>
    <w:rsid w:val="000B5403"/>
    <w:pPr>
      <w:ind w:left="720"/>
    </w:pPr>
  </w:style>
  <w:style w:type="table" w:styleId="af">
    <w:name w:val="Table Grid"/>
    <w:basedOn w:val="a1"/>
    <w:uiPriority w:val="59"/>
    <w:rsid w:val="00A5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rsid w:val="0096418A"/>
  </w:style>
  <w:style w:type="paragraph" w:styleId="af0">
    <w:name w:val="TOC Heading"/>
    <w:basedOn w:val="1"/>
    <w:next w:val="a"/>
    <w:uiPriority w:val="99"/>
    <w:qFormat/>
    <w:rsid w:val="0096418A"/>
    <w:pPr>
      <w:keepLines/>
      <w:widowControl/>
      <w:autoSpaceDE/>
      <w:autoSpaceDN/>
      <w:adjustRightInd/>
      <w:spacing w:before="480" w:after="0" w:line="276" w:lineRule="auto"/>
      <w:outlineLvl w:val="9"/>
    </w:pPr>
    <w:rPr>
      <w:color w:val="365F91"/>
      <w:kern w:val="0"/>
      <w:sz w:val="28"/>
      <w:szCs w:val="28"/>
    </w:rPr>
  </w:style>
  <w:style w:type="paragraph" w:customStyle="1" w:styleId="Default">
    <w:name w:val="Default"/>
    <w:uiPriority w:val="99"/>
    <w:rsid w:val="00AC14B9"/>
    <w:pPr>
      <w:autoSpaceDE w:val="0"/>
      <w:autoSpaceDN w:val="0"/>
      <w:adjustRightInd w:val="0"/>
    </w:pPr>
    <w:rPr>
      <w:color w:val="000000"/>
      <w:sz w:val="24"/>
      <w:szCs w:val="24"/>
    </w:rPr>
  </w:style>
  <w:style w:type="paragraph" w:styleId="af1">
    <w:name w:val="Balloon Text"/>
    <w:basedOn w:val="a"/>
    <w:link w:val="af2"/>
    <w:uiPriority w:val="99"/>
    <w:semiHidden/>
    <w:rsid w:val="00D335E7"/>
    <w:rPr>
      <w:rFonts w:ascii="Tahoma" w:hAnsi="Tahoma" w:cs="Tahoma"/>
      <w:sz w:val="16"/>
      <w:szCs w:val="16"/>
    </w:rPr>
  </w:style>
  <w:style w:type="character" w:customStyle="1" w:styleId="af2">
    <w:name w:val="Текст выноски Знак"/>
    <w:basedOn w:val="a0"/>
    <w:link w:val="af1"/>
    <w:uiPriority w:val="99"/>
    <w:semiHidden/>
    <w:locked/>
    <w:rPr>
      <w:rFonts w:ascii="Tahoma" w:hAnsi="Tahoma" w:cs="Times New Roman"/>
      <w:sz w:val="16"/>
    </w:rPr>
  </w:style>
  <w:style w:type="character" w:styleId="af3">
    <w:name w:val="Hyperlink"/>
    <w:basedOn w:val="a0"/>
    <w:uiPriority w:val="99"/>
    <w:rsid w:val="008B2940"/>
    <w:rPr>
      <w:rFonts w:cs="Times New Roman"/>
      <w:color w:val="0000FF"/>
      <w:u w:val="single"/>
    </w:rPr>
  </w:style>
  <w:style w:type="character" w:styleId="af4">
    <w:name w:val="footnote reference"/>
    <w:basedOn w:val="a0"/>
    <w:uiPriority w:val="99"/>
    <w:semiHidden/>
    <w:rsid w:val="000E1600"/>
    <w:rPr>
      <w:rFonts w:cs="Times New Roman"/>
      <w:vertAlign w:val="superscript"/>
    </w:rPr>
  </w:style>
  <w:style w:type="character" w:customStyle="1" w:styleId="a8">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7"/>
    <w:locked/>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5297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457C3-17BE-4E2E-B03D-1DC79ED1D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2379</Words>
  <Characters>17350</Characters>
  <Application>Microsoft Office Word</Application>
  <DocSecurity>0</DocSecurity>
  <Lines>144</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REB</Company>
  <LinksUpToDate>false</LinksUpToDate>
  <CharactersWithSpaces>19690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Иванищева Елена Витальевна</dc:creator>
  <cp:lastModifiedBy>Шамшина Ирина Андреевна</cp:lastModifiedBy>
  <cp:revision>2</cp:revision>
  <cp:lastPrinted>2015-04-03T08:49:00Z</cp:lastPrinted>
  <dcterms:created xsi:type="dcterms:W3CDTF">2021-06-09T12:51:00Z</dcterms:created>
  <dcterms:modified xsi:type="dcterms:W3CDTF">2021-06-09T12:51:00Z</dcterms:modified>
</cp:coreProperties>
</file>